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AEA5" w14:textId="77777777"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______</w:t>
      </w:r>
    </w:p>
    <w:p w14:paraId="6E44EA4C" w14:textId="77777777"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385DE8">
        <w:rPr>
          <w:sz w:val="22"/>
          <w:szCs w:val="22"/>
          <w:u w:val="single"/>
        </w:rPr>
        <w:t xml:space="preserve">                  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385DE8">
        <w:rPr>
          <w:sz w:val="22"/>
          <w:szCs w:val="22"/>
        </w:rPr>
        <w:t>2</w:t>
      </w:r>
      <w:r w:rsidR="00F840AA">
        <w:rPr>
          <w:sz w:val="22"/>
          <w:szCs w:val="22"/>
        </w:rPr>
        <w:t>2</w:t>
      </w:r>
      <w:r w:rsidRPr="00891CC3">
        <w:rPr>
          <w:sz w:val="22"/>
          <w:szCs w:val="22"/>
        </w:rPr>
        <w:t xml:space="preserve"> г.</w:t>
      </w:r>
    </w:p>
    <w:p w14:paraId="64DD5746" w14:textId="77777777"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14:paraId="1A6A0767" w14:textId="77777777"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385DE8">
        <w:rPr>
          <w:sz w:val="22"/>
          <w:szCs w:val="22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385DE8">
        <w:rPr>
          <w:sz w:val="22"/>
          <w:szCs w:val="22"/>
          <w:u w:val="single"/>
          <w:lang w:eastAsia="ru-RU"/>
        </w:rPr>
        <w:t xml:space="preserve">                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385DE8">
        <w:rPr>
          <w:sz w:val="22"/>
          <w:szCs w:val="22"/>
          <w:u w:val="single"/>
          <w:lang w:eastAsia="ru-RU"/>
        </w:rPr>
        <w:t xml:space="preserve">        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385DE8">
        <w:rPr>
          <w:sz w:val="22"/>
          <w:szCs w:val="22"/>
          <w:u w:val="single"/>
          <w:lang w:eastAsia="ru-RU"/>
        </w:rPr>
        <w:t xml:space="preserve">            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14:paraId="70AAAE44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5EEC5B37" w14:textId="77777777"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3F2DD6">
        <w:rPr>
          <w:sz w:val="22"/>
          <w:szCs w:val="22"/>
        </w:rPr>
        <w:t>Поставщик обязуется поставить Покупателю</w:t>
      </w:r>
      <w:r w:rsidR="00846844" w:rsidRPr="003F2DD6">
        <w:rPr>
          <w:sz w:val="22"/>
          <w:szCs w:val="22"/>
        </w:rPr>
        <w:t xml:space="preserve"> </w:t>
      </w:r>
      <w:r w:rsidR="00F840AA" w:rsidRPr="00C13DE1">
        <w:rPr>
          <w:sz w:val="22"/>
          <w:szCs w:val="22"/>
        </w:rPr>
        <w:t>стационарн</w:t>
      </w:r>
      <w:r w:rsidR="00F840AA">
        <w:rPr>
          <w:sz w:val="22"/>
          <w:szCs w:val="22"/>
        </w:rPr>
        <w:t>ые</w:t>
      </w:r>
      <w:r w:rsidR="00F840AA" w:rsidRPr="00C13DE1">
        <w:rPr>
          <w:sz w:val="22"/>
          <w:szCs w:val="22"/>
        </w:rPr>
        <w:t xml:space="preserve"> газоанализатор</w:t>
      </w:r>
      <w:r w:rsidR="00F840AA">
        <w:rPr>
          <w:sz w:val="22"/>
          <w:szCs w:val="22"/>
        </w:rPr>
        <w:t>ы</w:t>
      </w:r>
      <w:r w:rsidR="00F840AA" w:rsidRPr="00C13DE1">
        <w:rPr>
          <w:sz w:val="22"/>
          <w:szCs w:val="22"/>
        </w:rPr>
        <w:t xml:space="preserve"> в комплекте с датчиками (блоками) для измер</w:t>
      </w:r>
      <w:r w:rsidR="00F840AA">
        <w:rPr>
          <w:sz w:val="22"/>
          <w:szCs w:val="22"/>
        </w:rPr>
        <w:t>ения</w:t>
      </w:r>
      <w:r w:rsidR="00F840AA" w:rsidRPr="00C13DE1">
        <w:rPr>
          <w:sz w:val="22"/>
          <w:szCs w:val="22"/>
        </w:rPr>
        <w:t xml:space="preserve"> газов</w:t>
      </w:r>
      <w:r w:rsidR="00F840AA" w:rsidRPr="003F2DD6">
        <w:rPr>
          <w:sz w:val="22"/>
          <w:szCs w:val="22"/>
        </w:rPr>
        <w:t xml:space="preserve"> </w:t>
      </w:r>
      <w:r w:rsidRPr="003F2DD6">
        <w:rPr>
          <w:sz w:val="22"/>
          <w:szCs w:val="22"/>
        </w:rPr>
        <w:t xml:space="preserve">(далее –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>) в объеме в соответствии</w:t>
      </w:r>
      <w:r w:rsidRPr="003F2DD6">
        <w:rPr>
          <w:b/>
          <w:sz w:val="22"/>
          <w:szCs w:val="22"/>
        </w:rPr>
        <w:t xml:space="preserve"> </w:t>
      </w:r>
      <w:r w:rsidRPr="003F2DD6">
        <w:rPr>
          <w:sz w:val="22"/>
          <w:szCs w:val="22"/>
        </w:rPr>
        <w:t>с</w:t>
      </w:r>
      <w:r w:rsidR="004211FC" w:rsidRPr="003F2DD6">
        <w:rPr>
          <w:sz w:val="22"/>
          <w:szCs w:val="22"/>
        </w:rPr>
        <w:t>о</w:t>
      </w:r>
      <w:r w:rsidRPr="003F2DD6">
        <w:rPr>
          <w:sz w:val="22"/>
          <w:szCs w:val="22"/>
        </w:rPr>
        <w:t xml:space="preserve"> спецификацией (</w:t>
      </w:r>
      <w:r w:rsidR="004211FC" w:rsidRPr="003F2DD6">
        <w:rPr>
          <w:sz w:val="22"/>
          <w:szCs w:val="22"/>
        </w:rPr>
        <w:t>П</w:t>
      </w:r>
      <w:r w:rsidRPr="003F2DD6">
        <w:rPr>
          <w:sz w:val="22"/>
          <w:szCs w:val="22"/>
        </w:rPr>
        <w:t>риложение № 1</w:t>
      </w:r>
      <w:r w:rsidR="00EE7B50" w:rsidRPr="003F2DD6">
        <w:rPr>
          <w:sz w:val="22"/>
          <w:szCs w:val="22"/>
        </w:rPr>
        <w:t xml:space="preserve"> к настоящему Договору</w:t>
      </w:r>
      <w:r w:rsidRPr="003F2DD6">
        <w:rPr>
          <w:sz w:val="22"/>
          <w:szCs w:val="22"/>
        </w:rPr>
        <w:t>)</w:t>
      </w:r>
      <w:r w:rsidR="004211FC" w:rsidRPr="003F2DD6">
        <w:rPr>
          <w:sz w:val="22"/>
          <w:szCs w:val="22"/>
        </w:rPr>
        <w:t xml:space="preserve"> и Техническим заданием (Приложение №</w:t>
      </w:r>
      <w:r w:rsidR="00DD230A" w:rsidRPr="003F2DD6">
        <w:rPr>
          <w:sz w:val="22"/>
          <w:szCs w:val="22"/>
        </w:rPr>
        <w:t xml:space="preserve"> </w:t>
      </w:r>
      <w:r w:rsidR="004211FC" w:rsidRPr="003F2DD6">
        <w:rPr>
          <w:sz w:val="22"/>
          <w:szCs w:val="22"/>
        </w:rPr>
        <w:t>2</w:t>
      </w:r>
      <w:r w:rsidRPr="003F2DD6">
        <w:rPr>
          <w:sz w:val="22"/>
          <w:szCs w:val="22"/>
        </w:rPr>
        <w:t xml:space="preserve"> к настоящему договору</w:t>
      </w:r>
      <w:r w:rsidR="00EE7B50" w:rsidRPr="003F2DD6">
        <w:rPr>
          <w:sz w:val="22"/>
          <w:szCs w:val="22"/>
        </w:rPr>
        <w:t>)</w:t>
      </w:r>
      <w:r w:rsidRPr="003F2DD6">
        <w:rPr>
          <w:sz w:val="22"/>
          <w:szCs w:val="22"/>
        </w:rPr>
        <w:t xml:space="preserve">, а Покупатель обязуется принять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 xml:space="preserve"> и оплатить е</w:t>
      </w:r>
      <w:r w:rsidR="00BF7128" w:rsidRPr="003F2DD6">
        <w:rPr>
          <w:sz w:val="22"/>
          <w:szCs w:val="22"/>
        </w:rPr>
        <w:t>го</w:t>
      </w:r>
      <w:r w:rsidRPr="003F2DD6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3F2DD6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14:paraId="2C743834" w14:textId="77777777"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F15CF6">
        <w:rPr>
          <w:sz w:val="22"/>
          <w:szCs w:val="22"/>
        </w:rPr>
        <w:t xml:space="preserve">не </w:t>
      </w:r>
      <w:r w:rsidR="00F15CF6" w:rsidRPr="00FB71D3">
        <w:rPr>
          <w:sz w:val="22"/>
          <w:szCs w:val="22"/>
        </w:rPr>
        <w:t>позднее</w:t>
      </w:r>
      <w:r w:rsidR="00846844" w:rsidRPr="00FB71D3">
        <w:rPr>
          <w:sz w:val="22"/>
          <w:szCs w:val="22"/>
        </w:rPr>
        <w:t xml:space="preserve"> </w:t>
      </w:r>
      <w:r w:rsidR="00CD47A5">
        <w:rPr>
          <w:sz w:val="22"/>
          <w:szCs w:val="22"/>
        </w:rPr>
        <w:t>5</w:t>
      </w:r>
      <w:r w:rsidR="00001C5C">
        <w:rPr>
          <w:sz w:val="22"/>
          <w:szCs w:val="22"/>
        </w:rPr>
        <w:t>5</w:t>
      </w:r>
      <w:r w:rsidR="00EE7B50">
        <w:rPr>
          <w:sz w:val="22"/>
          <w:szCs w:val="22"/>
        </w:rPr>
        <w:t xml:space="preserve"> (</w:t>
      </w:r>
      <w:r w:rsidR="00CD47A5">
        <w:rPr>
          <w:sz w:val="22"/>
          <w:szCs w:val="22"/>
        </w:rPr>
        <w:t>Пятидеся</w:t>
      </w:r>
      <w:r w:rsidR="00EE7B50">
        <w:rPr>
          <w:sz w:val="22"/>
          <w:szCs w:val="22"/>
        </w:rPr>
        <w:t>ти</w:t>
      </w:r>
      <w:r w:rsidR="00001C5C">
        <w:rPr>
          <w:sz w:val="22"/>
          <w:szCs w:val="22"/>
        </w:rPr>
        <w:t xml:space="preserve"> пяти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F15CF6">
        <w:rPr>
          <w:sz w:val="22"/>
          <w:szCs w:val="22"/>
        </w:rPr>
        <w:t xml:space="preserve">календарных </w:t>
      </w:r>
      <w:r w:rsidR="00846844">
        <w:rPr>
          <w:sz w:val="22"/>
          <w:szCs w:val="22"/>
        </w:rPr>
        <w:t xml:space="preserve">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14:paraId="019CF9F6" w14:textId="77777777"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14:paraId="7E2E0863" w14:textId="77777777"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 xml:space="preserve">2.1. В целях обеспечения исполнения своих обязательств по настоящему Договору Поставщик предоставляет Покупателю банковскую </w:t>
      </w:r>
      <w:r w:rsidR="00976BE5">
        <w:rPr>
          <w:sz w:val="22"/>
          <w:szCs w:val="22"/>
        </w:rPr>
        <w:t>(независимую) гарантию</w:t>
      </w:r>
      <w:r w:rsidRPr="002E12DA">
        <w:rPr>
          <w:sz w:val="22"/>
          <w:szCs w:val="22"/>
        </w:rPr>
        <w:t xml:space="preserve">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14:paraId="4704BCBF" w14:textId="77777777"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976BE5">
        <w:rPr>
          <w:sz w:val="22"/>
          <w:szCs w:val="22"/>
        </w:rPr>
        <w:t>5</w:t>
      </w:r>
      <w:r w:rsidRPr="008F525B">
        <w:rPr>
          <w:rStyle w:val="printable"/>
          <w:sz w:val="22"/>
          <w:szCs w:val="22"/>
        </w:rPr>
        <w:t xml:space="preserve">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976BE5">
        <w:rPr>
          <w:sz w:val="22"/>
          <w:szCs w:val="22"/>
        </w:rPr>
        <w:t>28 773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976BE5">
        <w:rPr>
          <w:sz w:val="22"/>
          <w:szCs w:val="22"/>
        </w:rPr>
        <w:t>Двадцать восемь тысяч семьсот семьдесят три</w:t>
      </w:r>
      <w:r w:rsidR="003C79E1" w:rsidRPr="00430D51">
        <w:rPr>
          <w:sz w:val="22"/>
          <w:szCs w:val="22"/>
        </w:rPr>
        <w:t>) рубл</w:t>
      </w:r>
      <w:r w:rsidR="00976BE5">
        <w:rPr>
          <w:sz w:val="22"/>
          <w:szCs w:val="22"/>
        </w:rPr>
        <w:t>я</w:t>
      </w:r>
      <w:r w:rsidR="003C79E1" w:rsidRPr="00430D51">
        <w:rPr>
          <w:sz w:val="22"/>
          <w:szCs w:val="22"/>
        </w:rPr>
        <w:t xml:space="preserve"> </w:t>
      </w:r>
      <w:r w:rsidR="00976BE5">
        <w:rPr>
          <w:sz w:val="22"/>
          <w:szCs w:val="22"/>
        </w:rPr>
        <w:t>33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976BE5">
        <w:rPr>
          <w:sz w:val="22"/>
          <w:szCs w:val="22"/>
        </w:rPr>
        <w:t>йки</w:t>
      </w:r>
      <w:r w:rsidR="00ED7CFC">
        <w:rPr>
          <w:rStyle w:val="afffc"/>
          <w:sz w:val="22"/>
          <w:szCs w:val="22"/>
        </w:rPr>
        <w:footnoteReference w:id="1"/>
      </w:r>
      <w:r w:rsidR="003714C5" w:rsidRPr="00430D51">
        <w:rPr>
          <w:rStyle w:val="ListLabel9"/>
          <w:sz w:val="22"/>
          <w:szCs w:val="22"/>
        </w:rPr>
        <w:t>.</w:t>
      </w:r>
    </w:p>
    <w:p w14:paraId="1BC9B74B" w14:textId="77777777"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14:paraId="24896BCC" w14:textId="77777777"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</w:t>
      </w:r>
      <w:r w:rsidR="00976BE5">
        <w:rPr>
          <w:sz w:val="22"/>
          <w:szCs w:val="22"/>
        </w:rPr>
        <w:t xml:space="preserve">(независимой) </w:t>
      </w:r>
      <w:r w:rsidRPr="008F525B">
        <w:rPr>
          <w:sz w:val="22"/>
          <w:szCs w:val="22"/>
        </w:rPr>
        <w:t xml:space="preserve">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14:paraId="46F949C0" w14:textId="77777777"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14:paraId="648F2004" w14:textId="77777777"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14:paraId="61CC2E6A" w14:textId="77777777"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</w:t>
      </w:r>
      <w:r w:rsidR="00976BE5">
        <w:rPr>
          <w:sz w:val="22"/>
          <w:szCs w:val="22"/>
        </w:rPr>
        <w:t xml:space="preserve">(независимой) </w:t>
      </w:r>
      <w:r w:rsidR="001E697C">
        <w:rPr>
          <w:sz w:val="22"/>
          <w:szCs w:val="22"/>
        </w:rPr>
        <w:t>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</w:t>
      </w:r>
      <w:r w:rsidR="00976BE5">
        <w:rPr>
          <w:sz w:val="22"/>
          <w:szCs w:val="22"/>
        </w:rPr>
        <w:t xml:space="preserve"> (независимой) </w:t>
      </w:r>
      <w:r w:rsidR="001E697C">
        <w:rPr>
          <w:sz w:val="22"/>
          <w:szCs w:val="22"/>
        </w:rPr>
        <w:t xml:space="preserve">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14:paraId="711D8719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14:paraId="14D4CE2F" w14:textId="77777777" w:rsidR="007547A5" w:rsidRPr="00CC578A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</w:t>
      </w:r>
      <w:r w:rsidRPr="00CC578A">
        <w:rPr>
          <w:sz w:val="22"/>
          <w:szCs w:val="22"/>
        </w:rPr>
        <w:t xml:space="preserve">Цена настоящего договора составляет </w:t>
      </w:r>
      <w:r w:rsidR="00FB57B6" w:rsidRPr="00CC578A">
        <w:rPr>
          <w:sz w:val="22"/>
          <w:szCs w:val="22"/>
        </w:rPr>
        <w:t>________ руб. ____ коп., в том числе НДС 20%</w:t>
      </w:r>
      <w:r w:rsidR="00584DBB" w:rsidRPr="00CC578A">
        <w:rPr>
          <w:sz w:val="22"/>
          <w:szCs w:val="22"/>
        </w:rPr>
        <w:t xml:space="preserve"> или НДС не облагается</w:t>
      </w:r>
      <w:r w:rsidRPr="00CC578A">
        <w:rPr>
          <w:sz w:val="22"/>
          <w:szCs w:val="22"/>
        </w:rPr>
        <w:t xml:space="preserve">. </w:t>
      </w:r>
      <w:r w:rsidR="00CC578A" w:rsidRPr="00CC578A">
        <w:rPr>
          <w:sz w:val="22"/>
          <w:szCs w:val="22"/>
        </w:rPr>
        <w:t>Цена договора формируется с учетом всех расходов поставщика,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="00FB71D3" w:rsidRPr="00CC578A">
        <w:rPr>
          <w:sz w:val="22"/>
          <w:szCs w:val="22"/>
        </w:rPr>
        <w:t>.</w:t>
      </w:r>
    </w:p>
    <w:p w14:paraId="42F69D8B" w14:textId="77777777"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147C74">
        <w:rPr>
          <w:sz w:val="22"/>
          <w:szCs w:val="22"/>
        </w:rPr>
        <w:lastRenderedPageBreak/>
        <w:t xml:space="preserve">3.2. </w:t>
      </w:r>
      <w:r w:rsidRPr="00147C74">
        <w:rPr>
          <w:sz w:val="22"/>
          <w:szCs w:val="22"/>
          <w:lang w:eastAsia="ru-RU"/>
        </w:rPr>
        <w:t xml:space="preserve">Цена </w:t>
      </w:r>
      <w:r w:rsidRPr="00425BFA">
        <w:rPr>
          <w:sz w:val="22"/>
          <w:szCs w:val="22"/>
          <w:lang w:eastAsia="ru-RU"/>
        </w:rPr>
        <w:t xml:space="preserve">договора является твердой и не может изменяться в ходе его исполнения, за </w:t>
      </w:r>
      <w:r w:rsidRPr="00425BFA">
        <w:rPr>
          <w:sz w:val="22"/>
          <w:szCs w:val="22"/>
        </w:rPr>
        <w:t xml:space="preserve">исключением случаев, предусмотренных </w:t>
      </w:r>
      <w:r w:rsidR="00B338F5" w:rsidRPr="00425BFA">
        <w:rPr>
          <w:sz w:val="22"/>
          <w:szCs w:val="22"/>
        </w:rPr>
        <w:t xml:space="preserve">действующим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14:paraId="0A06A761" w14:textId="77777777"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6D6998">
        <w:rPr>
          <w:rStyle w:val="printable"/>
          <w:rFonts w:eastAsiaTheme="majorEastAsia"/>
          <w:sz w:val="22"/>
          <w:szCs w:val="22"/>
        </w:rPr>
        <w:t>7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 (</w:t>
      </w:r>
      <w:r w:rsidR="006D6998">
        <w:rPr>
          <w:rStyle w:val="printable"/>
          <w:rFonts w:eastAsiaTheme="majorEastAsia"/>
          <w:sz w:val="22"/>
          <w:szCs w:val="22"/>
        </w:rPr>
        <w:t>семи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14:paraId="3C4FEB76" w14:textId="77777777"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14:paraId="6108E2AF" w14:textId="77777777" w:rsidR="007547A5" w:rsidRPr="004373A7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14:paraId="2CED4518" w14:textId="77777777" w:rsidR="004373A7" w:rsidRPr="004373A7" w:rsidRDefault="004373A7" w:rsidP="004373A7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14:paraId="25806451" w14:textId="77777777" w:rsidR="007547A5" w:rsidRPr="004373A7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14:paraId="49952C8D" w14:textId="77777777" w:rsidR="000C30AD" w:rsidRPr="005D57C9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4.1. Качество поставляемо</w:t>
      </w:r>
      <w:r w:rsidR="00BF7128" w:rsidRPr="004373A7">
        <w:rPr>
          <w:sz w:val="22"/>
          <w:szCs w:val="22"/>
        </w:rPr>
        <w:t>го</w:t>
      </w:r>
      <w:r w:rsidRPr="004373A7">
        <w:rPr>
          <w:sz w:val="22"/>
          <w:szCs w:val="22"/>
        </w:rPr>
        <w:t xml:space="preserve">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Поставщик </w:t>
      </w:r>
      <w:r w:rsidRPr="005D57C9">
        <w:rPr>
          <w:sz w:val="22"/>
          <w:szCs w:val="22"/>
        </w:rPr>
        <w:t xml:space="preserve">передаёт Покупателю правила эксплуатации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указаны правила использования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>, условия предоставления гарантийного обслуживания.</w:t>
      </w:r>
    </w:p>
    <w:p w14:paraId="7ADAEEBE" w14:textId="77777777" w:rsidR="007547A5" w:rsidRPr="008C7C7A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5D57C9">
        <w:rPr>
          <w:rFonts w:ascii="Times New Roman" w:hAnsi="Times New Roman"/>
        </w:rPr>
        <w:t>4</w:t>
      </w:r>
      <w:r w:rsidR="00A30B97" w:rsidRPr="005D57C9">
        <w:rPr>
          <w:rFonts w:ascii="Times New Roman" w:hAnsi="Times New Roman"/>
        </w:rPr>
        <w:t xml:space="preserve">.2. </w:t>
      </w:r>
      <w:r w:rsidR="005D57C9" w:rsidRPr="005D57C9">
        <w:rPr>
          <w:rFonts w:ascii="Times New Roman" w:hAnsi="Times New Roman"/>
        </w:rPr>
        <w:t xml:space="preserve">Гарантийный срок на поставляемую продукцию </w:t>
      </w:r>
      <w:r w:rsidR="00CC578A">
        <w:rPr>
          <w:rFonts w:ascii="Times New Roman" w:hAnsi="Times New Roman"/>
        </w:rPr>
        <w:t>установлен в Техническом задании (Приложение № 2 к настоящему Договору)</w:t>
      </w:r>
      <w:r w:rsidR="005D57C9" w:rsidRPr="005D57C9">
        <w:rPr>
          <w:rFonts w:ascii="Times New Roman" w:hAnsi="Times New Roman"/>
        </w:rPr>
        <w:t>.</w:t>
      </w:r>
      <w:r w:rsidR="008C7C7A" w:rsidRPr="005D57C9">
        <w:rPr>
          <w:rFonts w:ascii="Times New Roman" w:hAnsi="Times New Roman"/>
        </w:rPr>
        <w:t xml:space="preserve">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</w:t>
      </w:r>
      <w:r w:rsidR="008C7C7A" w:rsidRPr="008C7C7A">
        <w:rPr>
          <w:rFonts w:ascii="Times New Roman" w:hAnsi="Times New Roman"/>
        </w:rPr>
        <w:t xml:space="preserve">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  <w:r w:rsidR="00A30B97" w:rsidRPr="008C7C7A">
        <w:rPr>
          <w:rFonts w:ascii="Times New Roman" w:hAnsi="Times New Roman"/>
          <w:highlight w:val="yellow"/>
        </w:rPr>
        <w:t xml:space="preserve"> </w:t>
      </w:r>
    </w:p>
    <w:p w14:paraId="3C05E0D7" w14:textId="77777777"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C7C7A">
        <w:rPr>
          <w:rFonts w:ascii="Times New Roman" w:hAnsi="Times New Roman" w:cs="Times New Roman"/>
        </w:rPr>
        <w:t xml:space="preserve">4.3. </w:t>
      </w:r>
      <w:r w:rsidR="00BF7128" w:rsidRPr="008C7C7A">
        <w:rPr>
          <w:rFonts w:ascii="Times New Roman" w:hAnsi="Times New Roman" w:cs="Times New Roman"/>
        </w:rPr>
        <w:t>Товар</w:t>
      </w:r>
      <w:r w:rsidRPr="008C7C7A">
        <w:rPr>
          <w:rFonts w:ascii="Times New Roman" w:hAnsi="Times New Roman" w:cs="Times New Roman"/>
        </w:rPr>
        <w:t xml:space="preserve"> долж</w:t>
      </w:r>
      <w:r w:rsidR="00BF7128" w:rsidRPr="008C7C7A">
        <w:rPr>
          <w:rFonts w:ascii="Times New Roman" w:hAnsi="Times New Roman" w:cs="Times New Roman"/>
        </w:rPr>
        <w:t>ен</w:t>
      </w:r>
      <w:r w:rsidRPr="008C7C7A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8C7C7A">
        <w:rPr>
          <w:rFonts w:ascii="Times New Roman" w:hAnsi="Times New Roman" w:cs="Times New Roman"/>
        </w:rPr>
        <w:t>го</w:t>
      </w:r>
      <w:r w:rsidRPr="008C7C7A">
        <w:rPr>
          <w:rFonts w:ascii="Times New Roman" w:hAnsi="Times New Roman" w:cs="Times New Roman"/>
        </w:rPr>
        <w:t xml:space="preserve">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19529E">
        <w:rPr>
          <w:rFonts w:ascii="Times New Roman" w:hAnsi="Times New Roman" w:cs="Times New Roman"/>
        </w:rPr>
        <w:t>.</w:t>
      </w:r>
    </w:p>
    <w:p w14:paraId="488F6EA6" w14:textId="77777777"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14:paraId="4194A847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14:paraId="7F087AB0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14:paraId="0357BC69" w14:textId="77777777"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14:paraId="57E3AF08" w14:textId="77777777"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</w:t>
      </w:r>
      <w:r w:rsidRPr="00674FD2">
        <w:rPr>
          <w:color w:val="000000"/>
          <w:sz w:val="22"/>
          <w:szCs w:val="22"/>
          <w:lang w:eastAsia="ru-RU"/>
        </w:rPr>
        <w:t xml:space="preserve">ул. </w:t>
      </w:r>
      <w:r w:rsidR="00674FD2" w:rsidRPr="00674FD2">
        <w:rPr>
          <w:color w:val="000000"/>
          <w:sz w:val="22"/>
          <w:szCs w:val="22"/>
          <w:lang w:eastAsia="ru-RU"/>
        </w:rPr>
        <w:t>Ленина</w:t>
      </w:r>
      <w:r w:rsidR="003E740A" w:rsidRPr="00674FD2">
        <w:rPr>
          <w:color w:val="000000"/>
          <w:sz w:val="22"/>
          <w:szCs w:val="22"/>
          <w:lang w:eastAsia="ru-RU"/>
        </w:rPr>
        <w:t xml:space="preserve">, </w:t>
      </w:r>
      <w:r w:rsidR="00674FD2" w:rsidRPr="00674FD2">
        <w:rPr>
          <w:color w:val="000000"/>
          <w:sz w:val="22"/>
          <w:szCs w:val="22"/>
          <w:lang w:eastAsia="ru-RU"/>
        </w:rPr>
        <w:t>52</w:t>
      </w:r>
      <w:r w:rsidR="00C641FF" w:rsidRPr="00674FD2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14:paraId="54BEAA29" w14:textId="77777777"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14:paraId="3192C215" w14:textId="77777777" w:rsidR="007547A5" w:rsidRPr="002E226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="00B62645">
        <w:rPr>
          <w:sz w:val="22"/>
          <w:szCs w:val="22"/>
        </w:rPr>
        <w:t>,</w:t>
      </w:r>
      <w:r w:rsidR="002E2269" w:rsidRPr="002E2269">
        <w:rPr>
          <w:sz w:val="22"/>
          <w:szCs w:val="22"/>
        </w:rPr>
        <w:t xml:space="preserve"> </w:t>
      </w:r>
      <w:r w:rsidR="00B62645">
        <w:rPr>
          <w:sz w:val="22"/>
          <w:szCs w:val="22"/>
        </w:rPr>
        <w:t>р</w:t>
      </w:r>
      <w:r w:rsidR="002E2269" w:rsidRPr="002E2269">
        <w:rPr>
          <w:sz w:val="22"/>
          <w:szCs w:val="22"/>
        </w:rPr>
        <w:t>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14:paraId="662C7BA4" w14:textId="77777777"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14:paraId="53901E84" w14:textId="77777777"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</w:t>
      </w:r>
      <w:r w:rsidR="00B62645">
        <w:rPr>
          <w:sz w:val="22"/>
          <w:szCs w:val="22"/>
        </w:rPr>
        <w:t xml:space="preserve"> в одностороннем порядке</w:t>
      </w:r>
      <w:r w:rsidRPr="008F525B">
        <w:rPr>
          <w:sz w:val="22"/>
          <w:szCs w:val="22"/>
        </w:rPr>
        <w:t>.</w:t>
      </w:r>
    </w:p>
    <w:p w14:paraId="5AEF82EC" w14:textId="77777777"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14:paraId="317E70D3" w14:textId="77777777"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14:paraId="5ABB275E" w14:textId="77777777"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14:paraId="58E21D62" w14:textId="77777777"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14:paraId="758E2971" w14:textId="77777777"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14:paraId="69D8C304" w14:textId="77777777"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14:paraId="3BBE711B" w14:textId="77777777"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14:paraId="1405EDEE" w14:textId="77777777"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14:paraId="42858420" w14:textId="77777777"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14:paraId="172A901A" w14:textId="77777777"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14:paraId="56E6EC11" w14:textId="77777777"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14:paraId="73FB31F9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14:paraId="06B90995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14:paraId="03B150CE" w14:textId="77777777"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14:paraId="4475A0BD" w14:textId="77777777"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14:paraId="6FA44B73" w14:textId="77777777"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0CEF5DFC" w14:textId="77777777"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14:paraId="55F552E7" w14:textId="77777777"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14:paraId="3F7A5743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14:paraId="53727C08" w14:textId="77777777"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14:paraId="6A0D1ED0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463FE96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B2A7EFB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08564FC2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14:paraId="723E8084" w14:textId="77777777"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14:paraId="62D54D40" w14:textId="77777777"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14:paraId="2C016F7C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14:paraId="4E1EBCB7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14:paraId="0C3A9C10" w14:textId="77777777"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14:paraId="3F81D4A6" w14:textId="77777777"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C7BF0A" w14:textId="77777777"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14:paraId="73F8E18F" w14:textId="77777777"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14:paraId="2DF21FC4" w14:textId="77777777"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lastRenderedPageBreak/>
        <w:t>- электронной связи по адресам:</w:t>
      </w:r>
    </w:p>
    <w:p w14:paraId="3CB95C93" w14:textId="77777777"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14:paraId="2E2139FC" w14:textId="77777777"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14:paraId="4BBA566E" w14:textId="77777777"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4692AAA7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14:paraId="03A9A9B4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14:paraId="1EE01A7C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14:paraId="1664D473" w14:textId="77777777"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14:paraId="35370B9B" w14:textId="77777777"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14:paraId="1BC50C42" w14:textId="77777777"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14:paraId="7173F65F" w14:textId="77777777"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14:paraId="6038F5AE" w14:textId="77777777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95C6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78C3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B4A5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14:paraId="7DF082A5" w14:textId="77777777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08F4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F8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8CD3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1E8E9B69" w14:textId="77777777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E7DC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14:paraId="7F5B9665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98B9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F11D" w14:textId="77777777"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493979FB" w14:textId="77777777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D59F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23BC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9727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5AF5" w14:textId="77777777"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DCA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2ED80D80" w14:textId="77777777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8157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BF06" w14:textId="77777777"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098A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F475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1A1F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226C7CB5" w14:textId="77777777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B341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9098" w14:textId="77777777" w:rsidR="00001C5C" w:rsidRDefault="00425BFA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 </w:t>
            </w:r>
          </w:p>
          <w:p w14:paraId="23B6D1BD" w14:textId="77777777" w:rsidR="007547A5" w:rsidRPr="00720DA4" w:rsidRDefault="00A30B97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142E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FE5C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B422" w14:textId="77777777"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49F45554" w14:textId="77777777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E513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E206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A4AC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F92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E9A6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60990EA0" w14:textId="77777777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510E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6240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F4C3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A991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F984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14:paraId="09DFE436" w14:textId="77777777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E983" w14:textId="77777777"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3B2E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1F77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14:paraId="3FC9EE21" w14:textId="77777777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A622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30EC613C" w14:textId="77777777"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1070" w14:textId="77777777"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8A20" w14:textId="77777777"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40C12F3F" w14:textId="77777777"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14:paraId="4E3E53C2" w14:textId="77777777"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14:paraId="48202B71" w14:textId="77777777"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14:paraId="152F7275" w14:textId="77777777"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14:paraId="5846B544" w14:textId="77777777"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14:paraId="2BA4C579" w14:textId="77777777"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56055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56055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001C5C">
        <w:rPr>
          <w:bCs/>
          <w:sz w:val="22"/>
          <w:szCs w:val="22"/>
          <w:lang w:eastAsia="ru-RU"/>
        </w:rPr>
        <w:t>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14:paraId="6B388FA4" w14:textId="77777777"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1"/>
        <w:gridCol w:w="709"/>
        <w:gridCol w:w="994"/>
        <w:gridCol w:w="1392"/>
        <w:gridCol w:w="2008"/>
      </w:tblGrid>
      <w:tr w:rsidR="000F323B" w:rsidRPr="00BA1E00" w14:paraId="2BD56CE4" w14:textId="77777777" w:rsidTr="008C0E1F">
        <w:trPr>
          <w:trHeight w:val="201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ADD" w14:textId="77777777"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14:paraId="54387633" w14:textId="77777777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35E" w14:textId="77777777"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14:paraId="05882D24" w14:textId="77777777"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 623700, Свердловская область,  г. Березовский, ул. Ленина, 52</w:t>
            </w:r>
          </w:p>
        </w:tc>
      </w:tr>
      <w:tr w:rsidR="000F323B" w:rsidRPr="00BA1E00" w14:paraId="2083CFF3" w14:textId="77777777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E3E" w14:textId="77777777"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Поставщик, его адрес: </w:t>
            </w:r>
          </w:p>
          <w:p w14:paraId="55FB3096" w14:textId="77777777"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F323B" w:rsidRPr="00BA1E00" w14:paraId="1D8377DF" w14:textId="77777777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E80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1AB" w14:textId="77777777" w:rsidR="00431A7A" w:rsidRDefault="000F323B" w:rsidP="00EF26FF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14:paraId="376608B1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149" w14:textId="77777777" w:rsidR="000F323B" w:rsidRPr="00BA1E00" w:rsidRDefault="000F323B" w:rsidP="00EF26FF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632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C7D" w14:textId="77777777" w:rsidR="000F323B" w:rsidRPr="00BA1E00" w:rsidRDefault="000F323B" w:rsidP="00EF26FF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675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14:paraId="5B5D188B" w14:textId="77777777" w:rsidR="000F323B" w:rsidRPr="00BA1E00" w:rsidRDefault="000F323B" w:rsidP="00EF26FF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14:paraId="4DE6965B" w14:textId="77777777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4A7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ED0" w14:textId="77777777" w:rsidR="000F323B" w:rsidRPr="00BA1E00" w:rsidRDefault="000F323B" w:rsidP="00EF26FF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AB9" w14:textId="77777777" w:rsidR="000F323B" w:rsidRPr="00BA1E00" w:rsidRDefault="000F323B" w:rsidP="00EF26FF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141" w14:textId="77777777" w:rsidR="000F323B" w:rsidRPr="00BA1E00" w:rsidRDefault="000F323B" w:rsidP="00EF26FF">
            <w:pPr>
              <w:contextualSpacing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2CE" w14:textId="77777777" w:rsidR="000F323B" w:rsidRPr="00BA1E00" w:rsidRDefault="000F323B" w:rsidP="00EF26FF">
            <w:pPr>
              <w:contextualSpacing/>
              <w:jc w:val="center"/>
            </w:pPr>
            <w: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AA9" w14:textId="77777777" w:rsidR="000F323B" w:rsidRPr="00BA1E00" w:rsidRDefault="000F323B" w:rsidP="00EF26FF">
            <w:pPr>
              <w:contextualSpacing/>
              <w:jc w:val="center"/>
            </w:pPr>
            <w:r>
              <w:t>6</w:t>
            </w:r>
          </w:p>
        </w:tc>
      </w:tr>
      <w:tr w:rsidR="00E94543" w:rsidRPr="00BA1E00" w14:paraId="4F9BCEDB" w14:textId="77777777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D68" w14:textId="77777777" w:rsidR="00E94543" w:rsidRPr="00BA1E00" w:rsidRDefault="00E94543" w:rsidP="00E94543">
            <w:pPr>
              <w:contextualSpacing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B49" w14:textId="77777777" w:rsidR="00E94543" w:rsidRPr="008C0E1F" w:rsidRDefault="008C0E1F" w:rsidP="008C0E1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C0E1F">
              <w:t>Стационарный газоанализатор в комплекте с датчиками (блоками) для измерения газов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475" w14:textId="77777777" w:rsidR="00E94543" w:rsidRPr="00BA1E00" w:rsidRDefault="00E94543" w:rsidP="00E94543">
            <w:pPr>
              <w:contextualSpacing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42E" w14:textId="77777777" w:rsidR="00E94543" w:rsidRDefault="008C0E1F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A9D" w14:textId="77777777" w:rsidR="00E94543" w:rsidRPr="00BA1E00" w:rsidRDefault="00E94543" w:rsidP="00E94543">
            <w:pPr>
              <w:contextualSpacing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1D3" w14:textId="77777777" w:rsidR="00E94543" w:rsidRPr="00BA1E00" w:rsidRDefault="00E94543" w:rsidP="00E94543">
            <w:pPr>
              <w:contextualSpacing/>
              <w:jc w:val="center"/>
            </w:pPr>
          </w:p>
        </w:tc>
      </w:tr>
      <w:tr w:rsidR="000F323B" w:rsidRPr="00BA1E00" w14:paraId="619FB068" w14:textId="77777777" w:rsidTr="008C0E1F">
        <w:trPr>
          <w:trHeight w:val="290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448" w14:textId="77777777" w:rsidR="000F323B" w:rsidRPr="00BA1E00" w:rsidRDefault="000F323B" w:rsidP="00EF26FF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722" w14:textId="77777777" w:rsidR="000F323B" w:rsidRPr="00BA1E00" w:rsidRDefault="000F323B" w:rsidP="00EF26FF">
            <w:pPr>
              <w:contextualSpacing/>
              <w:jc w:val="center"/>
            </w:pPr>
          </w:p>
        </w:tc>
      </w:tr>
    </w:tbl>
    <w:p w14:paraId="463F65C4" w14:textId="77777777"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14:paraId="092FDDD5" w14:textId="77777777"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14:paraId="0C5DEEC0" w14:textId="77777777"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14:paraId="0A9D0256" w14:textId="77777777"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14:paraId="446F54C4" w14:textId="77777777" w:rsidR="008C0E1F" w:rsidRDefault="00BC0253" w:rsidP="008C0E1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14:paraId="7E13AD87" w14:textId="77777777" w:rsidR="006E47A7" w:rsidRDefault="006E47A7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  <w:sectPr w:rsidR="006E47A7" w:rsidSect="006E47A7">
          <w:footerReference w:type="default" r:id="rId9"/>
          <w:pgSz w:w="11906" w:h="16838"/>
          <w:pgMar w:top="851" w:right="707" w:bottom="851" w:left="992" w:header="0" w:footer="223" w:gutter="0"/>
          <w:cols w:space="720"/>
          <w:formProt w:val="0"/>
          <w:docGrid w:linePitch="360" w:charSpace="8192"/>
        </w:sectPr>
      </w:pPr>
    </w:p>
    <w:p w14:paraId="53F51B70" w14:textId="77777777" w:rsidR="00847009" w:rsidRPr="00C72F12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C72F12">
        <w:rPr>
          <w:bCs/>
          <w:sz w:val="22"/>
          <w:szCs w:val="22"/>
          <w:lang w:eastAsia="ru-RU"/>
        </w:rPr>
        <w:lastRenderedPageBreak/>
        <w:t xml:space="preserve">Приложение № 2 к Договору </w:t>
      </w:r>
      <w:r w:rsidRPr="00C72F12">
        <w:rPr>
          <w:caps/>
          <w:sz w:val="22"/>
          <w:szCs w:val="22"/>
          <w:lang w:eastAsia="ru-RU"/>
        </w:rPr>
        <w:t xml:space="preserve">№ </w:t>
      </w:r>
      <w:r w:rsidRPr="00C72F12">
        <w:rPr>
          <w:bCs/>
          <w:caps/>
          <w:sz w:val="22"/>
          <w:szCs w:val="22"/>
          <w:u w:val="single"/>
          <w:lang w:eastAsia="ru-RU"/>
        </w:rPr>
        <w:t>_______</w:t>
      </w:r>
      <w:r w:rsidRPr="00C72F12">
        <w:rPr>
          <w:bCs/>
          <w:caps/>
          <w:sz w:val="22"/>
          <w:szCs w:val="22"/>
          <w:lang w:eastAsia="ru-RU"/>
        </w:rPr>
        <w:t xml:space="preserve"> </w:t>
      </w:r>
      <w:r w:rsidRPr="00C72F12">
        <w:rPr>
          <w:bCs/>
          <w:sz w:val="22"/>
          <w:szCs w:val="22"/>
          <w:lang w:val="x-none" w:eastAsia="ru-RU"/>
        </w:rPr>
        <w:t>о</w:t>
      </w:r>
      <w:r w:rsidRPr="00C72F12">
        <w:rPr>
          <w:bCs/>
          <w:sz w:val="22"/>
          <w:szCs w:val="22"/>
          <w:lang w:eastAsia="ru-RU"/>
        </w:rPr>
        <w:t>т «</w:t>
      </w:r>
      <w:r w:rsidRPr="00C72F12">
        <w:rPr>
          <w:bCs/>
          <w:sz w:val="22"/>
          <w:szCs w:val="22"/>
          <w:u w:val="single"/>
          <w:lang w:eastAsia="ru-RU"/>
        </w:rPr>
        <w:t>____</w:t>
      </w:r>
      <w:r w:rsidRPr="00C72F12">
        <w:rPr>
          <w:bCs/>
          <w:sz w:val="22"/>
          <w:szCs w:val="22"/>
          <w:lang w:eastAsia="ru-RU"/>
        </w:rPr>
        <w:t xml:space="preserve">» </w:t>
      </w:r>
      <w:r w:rsidRPr="00C72F12">
        <w:rPr>
          <w:bCs/>
          <w:sz w:val="22"/>
          <w:szCs w:val="22"/>
          <w:u w:val="single"/>
          <w:lang w:eastAsia="ru-RU"/>
        </w:rPr>
        <w:t>_______</w:t>
      </w:r>
      <w:r w:rsidRPr="00C72F12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8C0E1F">
        <w:rPr>
          <w:bCs/>
          <w:sz w:val="22"/>
          <w:szCs w:val="22"/>
          <w:lang w:eastAsia="ru-RU"/>
        </w:rPr>
        <w:t>2</w:t>
      </w:r>
      <w:r w:rsidRPr="00C72F12">
        <w:rPr>
          <w:bCs/>
          <w:sz w:val="22"/>
          <w:szCs w:val="22"/>
          <w:lang w:eastAsia="ru-RU"/>
        </w:rPr>
        <w:t xml:space="preserve"> г.</w:t>
      </w:r>
    </w:p>
    <w:p w14:paraId="7D2A7A37" w14:textId="77777777" w:rsidR="00BC0253" w:rsidRPr="00C72F12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14:paraId="5E354F0F" w14:textId="77777777" w:rsidR="00A70BC0" w:rsidRPr="00A70BC0" w:rsidRDefault="00A70BC0" w:rsidP="00A70BC0">
      <w:pPr>
        <w:suppressAutoHyphens w:val="0"/>
        <w:contextualSpacing/>
        <w:jc w:val="center"/>
        <w:rPr>
          <w:b/>
          <w:sz w:val="22"/>
          <w:szCs w:val="22"/>
          <w:vertAlign w:val="superscript"/>
          <w:lang w:eastAsia="ru-RU"/>
        </w:rPr>
      </w:pPr>
      <w:r w:rsidRPr="00A70BC0">
        <w:rPr>
          <w:b/>
          <w:sz w:val="22"/>
          <w:szCs w:val="22"/>
          <w:lang w:eastAsia="ru-RU"/>
        </w:rPr>
        <w:t>ТЕХНИЧЕСКОЕ ЗАДАНИЕ</w:t>
      </w:r>
    </w:p>
    <w:p w14:paraId="3E26CC4A" w14:textId="77777777" w:rsidR="00A70BC0" w:rsidRPr="00A70BC0" w:rsidRDefault="00A70BC0" w:rsidP="00A70BC0">
      <w:pPr>
        <w:suppressAutoHyphens w:val="0"/>
        <w:contextualSpacing/>
        <w:jc w:val="center"/>
        <w:rPr>
          <w:b/>
          <w:sz w:val="22"/>
          <w:szCs w:val="22"/>
          <w:lang w:eastAsia="ru-RU"/>
        </w:rPr>
      </w:pPr>
    </w:p>
    <w:p w14:paraId="7178048D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ind w:right="81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 xml:space="preserve">1. Предмет закупки: </w:t>
      </w:r>
    </w:p>
    <w:p w14:paraId="245394FA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ind w:right="81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1.1.</w:t>
      </w:r>
      <w:r w:rsidRPr="00A70BC0">
        <w:rPr>
          <w:b/>
          <w:sz w:val="22"/>
          <w:szCs w:val="22"/>
          <w:lang w:eastAsia="ru-RU"/>
        </w:rPr>
        <w:t xml:space="preserve"> </w:t>
      </w:r>
      <w:r w:rsidRPr="00A70BC0">
        <w:rPr>
          <w:sz w:val="22"/>
          <w:szCs w:val="22"/>
          <w:lang w:eastAsia="ru-RU"/>
        </w:rPr>
        <w:t>Поставка стационарного газоанализатора в комплекте с датчиками (</w:t>
      </w:r>
      <w:proofErr w:type="gramStart"/>
      <w:r w:rsidRPr="00A70BC0">
        <w:rPr>
          <w:sz w:val="22"/>
          <w:szCs w:val="22"/>
          <w:lang w:eastAsia="ru-RU"/>
        </w:rPr>
        <w:t>блоками)  для</w:t>
      </w:r>
      <w:proofErr w:type="gramEnd"/>
      <w:r w:rsidRPr="00A70BC0">
        <w:rPr>
          <w:sz w:val="22"/>
          <w:szCs w:val="22"/>
          <w:lang w:eastAsia="ru-RU"/>
        </w:rPr>
        <w:t xml:space="preserve"> измеряемых газов.</w:t>
      </w:r>
    </w:p>
    <w:p w14:paraId="3587091F" w14:textId="77777777" w:rsidR="00A70BC0" w:rsidRPr="00A70BC0" w:rsidRDefault="00A70BC0" w:rsidP="00A70BC0">
      <w:pPr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 xml:space="preserve">2. Количество поставляемого товара: </w:t>
      </w:r>
      <w:r w:rsidRPr="00A70BC0">
        <w:rPr>
          <w:sz w:val="22"/>
          <w:szCs w:val="22"/>
          <w:lang w:eastAsia="ru-RU"/>
        </w:rPr>
        <w:t>2 комплекта</w:t>
      </w:r>
    </w:p>
    <w:p w14:paraId="1875BCFC" w14:textId="77777777" w:rsidR="00A70BC0" w:rsidRPr="00A70BC0" w:rsidRDefault="00A70BC0" w:rsidP="00A70BC0">
      <w:pPr>
        <w:tabs>
          <w:tab w:val="left" w:pos="284"/>
          <w:tab w:val="left" w:pos="567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b/>
          <w:sz w:val="22"/>
          <w:szCs w:val="22"/>
          <w:lang w:eastAsia="en-US"/>
        </w:rPr>
        <w:t>3.  Начальная (максимальная) цена договора:</w:t>
      </w:r>
    </w:p>
    <w:p w14:paraId="77DFD766" w14:textId="77777777" w:rsidR="00A70BC0" w:rsidRPr="00A70BC0" w:rsidRDefault="00A70BC0" w:rsidP="00A70BC0">
      <w:pPr>
        <w:widowControl w:val="0"/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Начальная (максимальная) цена договора составляет 575 466 (Пятьсот семьдесят пять тысяч четыреста шестьдесят шесть) рублей 66 копеек, в том числе НДС (20%).</w:t>
      </w:r>
    </w:p>
    <w:p w14:paraId="61576BAC" w14:textId="77777777" w:rsidR="00A70BC0" w:rsidRPr="00A70BC0" w:rsidRDefault="00A70BC0" w:rsidP="00A70BC0">
      <w:pPr>
        <w:widowControl w:val="0"/>
        <w:tabs>
          <w:tab w:val="left" w:pos="360"/>
          <w:tab w:val="num" w:pos="1260"/>
        </w:tabs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Цена договора формируется с учетом всех расходов участника,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Федерации.</w:t>
      </w:r>
    </w:p>
    <w:p w14:paraId="71CA9CFE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ind w:right="79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Цена договора является твердой и не может изменяться в процессе его исполнения.</w:t>
      </w:r>
    </w:p>
    <w:p w14:paraId="04F5B19D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ind w:right="79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4. Назначение товара:</w:t>
      </w:r>
    </w:p>
    <w:p w14:paraId="60AB98E5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ind w:right="79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 xml:space="preserve">Товар предназначен для </w:t>
      </w:r>
      <w:r w:rsidRPr="00A70BC0">
        <w:rPr>
          <w:color w:val="000000"/>
          <w:sz w:val="22"/>
          <w:szCs w:val="22"/>
          <w:lang w:eastAsia="ru-RU" w:bidi="ru-RU"/>
        </w:rPr>
        <w:t xml:space="preserve">мониторинга содержания токсичных газов или контроля концентрации кислорода в воздухе рабочей зоны. </w:t>
      </w:r>
    </w:p>
    <w:p w14:paraId="32156042" w14:textId="77777777" w:rsidR="00A70BC0" w:rsidRPr="00A70BC0" w:rsidRDefault="00A70BC0" w:rsidP="00A70BC0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95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"/>
        <w:gridCol w:w="625"/>
        <w:gridCol w:w="2160"/>
        <w:gridCol w:w="2270"/>
        <w:gridCol w:w="4210"/>
        <w:gridCol w:w="213"/>
        <w:gridCol w:w="22"/>
      </w:tblGrid>
      <w:tr w:rsidR="00A70BC0" w:rsidRPr="00A70BC0" w14:paraId="0B86D342" w14:textId="77777777" w:rsidTr="00F073EB">
        <w:tc>
          <w:tcPr>
            <w:tcW w:w="658" w:type="dxa"/>
            <w:gridSpan w:val="2"/>
          </w:tcPr>
          <w:p w14:paraId="791AA05C" w14:textId="77777777" w:rsidR="00A70BC0" w:rsidRPr="00A70BC0" w:rsidRDefault="00A70BC0" w:rsidP="00A70B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75" w:type="dxa"/>
            <w:gridSpan w:val="5"/>
            <w:shd w:val="clear" w:color="auto" w:fill="auto"/>
          </w:tcPr>
          <w:p w14:paraId="0D86E834" w14:textId="77777777" w:rsidR="00A70BC0" w:rsidRPr="00A70BC0" w:rsidRDefault="00A70BC0" w:rsidP="00A70B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70BC0" w:rsidRPr="00A70BC0" w14:paraId="01FCC6E9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F93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A70BC0">
              <w:rPr>
                <w:b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7DF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Наименование товара, запрашиваемые данные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E4F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0BC0">
              <w:rPr>
                <w:b/>
                <w:bCs/>
                <w:sz w:val="22"/>
                <w:szCs w:val="22"/>
                <w:lang w:eastAsia="ru-RU"/>
              </w:rPr>
              <w:t>Технические характеристики, данные</w:t>
            </w:r>
          </w:p>
        </w:tc>
      </w:tr>
      <w:tr w:rsidR="00A70BC0" w:rsidRPr="00A70BC0" w14:paraId="60BFABFB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02" w14:textId="77777777" w:rsidR="00A70BC0" w:rsidRPr="00A70BC0" w:rsidRDefault="00A70BC0" w:rsidP="00A70BC0">
            <w:pPr>
              <w:suppressAutoHyphens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1DD" w14:textId="77777777" w:rsidR="00A70BC0" w:rsidRPr="00A70BC0" w:rsidRDefault="00A70BC0" w:rsidP="00A70BC0">
            <w:pPr>
              <w:suppressAutoHyphens w:val="0"/>
              <w:spacing w:line="288" w:lineRule="auto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Стационарный газоанализатор</w:t>
            </w:r>
          </w:p>
          <w:p w14:paraId="7D0424C8" w14:textId="77777777" w:rsidR="00A70BC0" w:rsidRPr="00A70BC0" w:rsidRDefault="00A70BC0" w:rsidP="00A70BC0">
            <w:pPr>
              <w:suppressAutoHyphens w:val="0"/>
              <w:spacing w:line="288" w:lineRule="auto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Назначение оборудования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0345" w14:textId="77777777" w:rsidR="00A70BC0" w:rsidRPr="00A70BC0" w:rsidRDefault="00A70BC0" w:rsidP="00A70BC0">
            <w:pPr>
              <w:suppressAutoHyphens w:val="0"/>
              <w:spacing w:line="288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 xml:space="preserve">Стационарный газоанализатор предназначен для непрерывных автоматических измерений токсичных и горючих газов в воздухе рабочей зоны, а также </w:t>
            </w:r>
            <w:r w:rsidRPr="00A70BC0">
              <w:rPr>
                <w:rFonts w:eastAsia="Calibri"/>
                <w:sz w:val="22"/>
                <w:szCs w:val="22"/>
                <w:lang w:eastAsia="en-US"/>
              </w:rPr>
              <w:t>сигнализации о выходе содержания определяемых газов в контролируемой рабочей зоне за допустимые пределы</w:t>
            </w:r>
            <w:r w:rsidRPr="00A70BC0">
              <w:rPr>
                <w:bCs/>
                <w:sz w:val="22"/>
                <w:szCs w:val="22"/>
                <w:lang w:eastAsia="ru-RU"/>
              </w:rPr>
              <w:t xml:space="preserve"> (звуковой и на экран мобильных и стационарных  устройств) о достижении содержания определяемых компонентов установленных пороговых значений.</w:t>
            </w:r>
          </w:p>
          <w:p w14:paraId="6BFE3638" w14:textId="77777777" w:rsidR="00A70BC0" w:rsidRPr="00A70BC0" w:rsidRDefault="00A70BC0" w:rsidP="00A70BC0">
            <w:pPr>
              <w:suppressAutoHyphens w:val="0"/>
              <w:spacing w:line="288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 xml:space="preserve">Область применения газоанализатора - контроль воздуха рабочей зоны помещений ГНС (главной насосной станции) и ХБС (станции </w:t>
            </w:r>
          </w:p>
          <w:p w14:paraId="1272FF7A" w14:textId="77777777" w:rsidR="00A70BC0" w:rsidRPr="00A70BC0" w:rsidRDefault="00A70BC0" w:rsidP="00A70BC0">
            <w:pPr>
              <w:suppressAutoHyphens w:val="0"/>
              <w:spacing w:line="288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хозяйственно-бытовых стоков) на очистных сооружениях.</w:t>
            </w:r>
          </w:p>
        </w:tc>
      </w:tr>
      <w:tr w:rsidR="00A70BC0" w:rsidRPr="00A70BC0" w14:paraId="1D53BF24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305" w14:textId="77777777" w:rsidR="00A70BC0" w:rsidRPr="00A70BC0" w:rsidRDefault="00A70BC0" w:rsidP="00A70BC0">
            <w:pPr>
              <w:suppressAutoHyphens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3CE" w14:textId="77777777" w:rsidR="00A70BC0" w:rsidRPr="00A70BC0" w:rsidRDefault="00A70BC0" w:rsidP="00A70BC0">
            <w:pPr>
              <w:suppressAutoHyphens w:val="0"/>
              <w:spacing w:line="288" w:lineRule="auto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Определяемые компоненты (</w:t>
            </w:r>
            <w:proofErr w:type="spellStart"/>
            <w:r w:rsidRPr="00A70BC0">
              <w:rPr>
                <w:b/>
                <w:sz w:val="22"/>
                <w:szCs w:val="22"/>
                <w:lang w:eastAsia="ru-RU"/>
              </w:rPr>
              <w:t>газы</w:t>
            </w:r>
            <w:proofErr w:type="spellEnd"/>
            <w:r w:rsidRPr="00A70BC0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946" w14:textId="77777777" w:rsidR="00A70BC0" w:rsidRPr="00A70BC0" w:rsidRDefault="00A70BC0" w:rsidP="00A70BC0">
            <w:pPr>
              <w:suppressAutoHyphens w:val="0"/>
              <w:ind w:left="113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1.Кислород О2</w:t>
            </w:r>
          </w:p>
          <w:p w14:paraId="23BD1831" w14:textId="77777777" w:rsidR="00A70BC0" w:rsidRPr="00A70BC0" w:rsidRDefault="00A70BC0" w:rsidP="00A70BC0">
            <w:pPr>
              <w:suppressAutoHyphens w:val="0"/>
              <w:ind w:left="113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2. Сероводород H2S</w:t>
            </w:r>
          </w:p>
          <w:p w14:paraId="2855C766" w14:textId="77777777" w:rsidR="00A70BC0" w:rsidRPr="00A70BC0" w:rsidRDefault="00A70BC0" w:rsidP="00A70BC0">
            <w:pPr>
              <w:suppressAutoHyphens w:val="0"/>
              <w:ind w:left="113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3. Аммиак NH3</w:t>
            </w:r>
          </w:p>
          <w:p w14:paraId="7DCF6559" w14:textId="77777777" w:rsidR="00A70BC0" w:rsidRPr="00A70BC0" w:rsidRDefault="00A70BC0" w:rsidP="00A70BC0">
            <w:pPr>
              <w:suppressAutoHyphens w:val="0"/>
              <w:ind w:left="113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4. Диоксид углерода СО2</w:t>
            </w:r>
          </w:p>
          <w:p w14:paraId="18700A9C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 xml:space="preserve">  5. Горючий газ - метан CH4</w:t>
            </w:r>
          </w:p>
        </w:tc>
      </w:tr>
      <w:tr w:rsidR="00A70BC0" w:rsidRPr="00A70BC0" w14:paraId="1137699B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1F5" w14:textId="77777777" w:rsidR="00A70BC0" w:rsidRPr="00A70BC0" w:rsidRDefault="00A70BC0" w:rsidP="00A70BC0">
            <w:pPr>
              <w:suppressAutoHyphens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196" w14:textId="77777777" w:rsidR="00A70BC0" w:rsidRPr="00A70BC0" w:rsidRDefault="00A70BC0" w:rsidP="00A70BC0">
            <w:pPr>
              <w:suppressAutoHyphens w:val="0"/>
              <w:spacing w:line="288" w:lineRule="auto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A70BC0">
              <w:rPr>
                <w:b/>
                <w:sz w:val="22"/>
                <w:szCs w:val="22"/>
                <w:lang w:eastAsia="ru-RU"/>
              </w:rPr>
              <w:t>Стационарный  газоанализатор</w:t>
            </w:r>
            <w:proofErr w:type="gramEnd"/>
          </w:p>
          <w:p w14:paraId="443512AD" w14:textId="77777777" w:rsidR="00A70BC0" w:rsidRPr="00A70BC0" w:rsidRDefault="00A70BC0" w:rsidP="00A70BC0">
            <w:pPr>
              <w:suppressAutoHyphens w:val="0"/>
              <w:spacing w:line="288" w:lineRule="auto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Технические характеристики: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200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Тип, модификация - стационарный газоанализатор;</w:t>
            </w:r>
          </w:p>
          <w:p w14:paraId="6162DAF5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Режим работы – непрерывный;</w:t>
            </w:r>
          </w:p>
          <w:p w14:paraId="2876C47E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 xml:space="preserve">Способ забора пробы диффузионный </w:t>
            </w:r>
          </w:p>
          <w:p w14:paraId="6F5CE74B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Тип сигнализации – звуковая (не менее 95 дБ), светодиодное табло и передача данных по каналу «</w:t>
            </w:r>
            <w:r w:rsidRPr="00A70BC0">
              <w:rPr>
                <w:bCs/>
                <w:sz w:val="22"/>
                <w:szCs w:val="22"/>
                <w:lang w:val="en-US" w:eastAsia="ru-RU"/>
              </w:rPr>
              <w:t>Ethernet</w:t>
            </w:r>
            <w:r w:rsidRPr="00A70BC0">
              <w:rPr>
                <w:bCs/>
                <w:sz w:val="22"/>
                <w:szCs w:val="22"/>
                <w:lang w:eastAsia="ru-RU"/>
              </w:rPr>
              <w:t>» на экран мобильных, стационарных устройств и компьютеров;</w:t>
            </w:r>
          </w:p>
          <w:p w14:paraId="5A221A10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Стационарный газоанализатор должен быть оборудован световой и звуковой индикацией по каналам газов для индикации превышения порогового уровня:</w:t>
            </w:r>
          </w:p>
          <w:p w14:paraId="694EAE5A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«порог 1»</w:t>
            </w:r>
          </w:p>
          <w:p w14:paraId="0A83AB09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«порог 2»</w:t>
            </w:r>
          </w:p>
          <w:p w14:paraId="784520CD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«порог 3»</w:t>
            </w:r>
          </w:p>
          <w:p w14:paraId="0F0862F2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«Авария»</w:t>
            </w:r>
          </w:p>
          <w:p w14:paraId="4FC884CD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Предел основной погрешности газоанализатора должен не превышать ±25%, кроме каналов измерения кислорода.</w:t>
            </w:r>
          </w:p>
          <w:p w14:paraId="5A9B90BA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lastRenderedPageBreak/>
              <w:t>Блоки сенсоров должны быть предназначены для измерений во взрывоопасных зонах помещений.</w:t>
            </w:r>
          </w:p>
          <w:p w14:paraId="1D0C0AC3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Условия эксплуатации:</w:t>
            </w:r>
          </w:p>
          <w:p w14:paraId="7205907C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температура окружающей среды - от – 40 до + 50 С</w:t>
            </w:r>
            <w:r w:rsidRPr="00A70BC0">
              <w:rPr>
                <w:bCs/>
                <w:sz w:val="22"/>
                <w:szCs w:val="22"/>
                <w:vertAlign w:val="superscript"/>
                <w:lang w:eastAsia="ru-RU"/>
              </w:rPr>
              <w:t>0</w:t>
            </w:r>
            <w:r w:rsidRPr="00A70BC0">
              <w:rPr>
                <w:bCs/>
                <w:sz w:val="22"/>
                <w:szCs w:val="22"/>
                <w:lang w:eastAsia="ru-RU"/>
              </w:rPr>
              <w:t>;</w:t>
            </w:r>
          </w:p>
          <w:p w14:paraId="5A84E759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относительная влажность от - 5 % до 95%;</w:t>
            </w:r>
          </w:p>
          <w:p w14:paraId="37AC1660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Степень защиты оболочки блока индикации от проникновения твердых тел (пыли) и влаги согласно ГОСТ 14254-96:</w:t>
            </w:r>
          </w:p>
          <w:p w14:paraId="5FE340EE" w14:textId="77777777" w:rsidR="00A70BC0" w:rsidRPr="00A70BC0" w:rsidRDefault="00A70BC0" w:rsidP="00A70BC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- не менее IP50.</w:t>
            </w:r>
          </w:p>
          <w:p w14:paraId="2C3EE56B" w14:textId="77777777" w:rsidR="00A70BC0" w:rsidRPr="00A70BC0" w:rsidRDefault="00A70BC0" w:rsidP="00A70BC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Стационарный газоанализатор должен выдерживать перегрузки по концентрации веществ не менее 10 минут, с восстановлением показаний после снятия перегрузки.</w:t>
            </w:r>
          </w:p>
          <w:p w14:paraId="03F4167D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Питание стационарного газоанализатора – от сети 220 Вт</w:t>
            </w:r>
          </w:p>
          <w:p w14:paraId="460F5A01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Срок службы газоанализатора – не менее 10 лет.</w:t>
            </w:r>
          </w:p>
          <w:p w14:paraId="55FCB2BA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Дополнительные требования:</w:t>
            </w:r>
          </w:p>
          <w:p w14:paraId="5A6165A8" w14:textId="77777777" w:rsidR="00A70BC0" w:rsidRPr="00A70BC0" w:rsidRDefault="00A70BC0" w:rsidP="00A70BC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Газоанализатор должен быть ремонтируемым и восстанавливаемым;</w:t>
            </w:r>
          </w:p>
          <w:p w14:paraId="6585C0EF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Газоанализатор может комплектоваться следующими видами блоков датчиков:</w:t>
            </w:r>
          </w:p>
          <w:p w14:paraId="57478809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- с электрохимическими сенсорами;</w:t>
            </w:r>
          </w:p>
          <w:p w14:paraId="6E3A9ABB" w14:textId="77777777" w:rsidR="00A70BC0" w:rsidRPr="00A70BC0" w:rsidRDefault="00A70BC0" w:rsidP="00A70B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- с термокаталитическими сенсорами;</w:t>
            </w:r>
          </w:p>
          <w:p w14:paraId="594EF37D" w14:textId="77777777" w:rsidR="00A70BC0" w:rsidRPr="00A70BC0" w:rsidRDefault="00A70BC0" w:rsidP="00A70BC0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- с оптическими сенсорами.</w:t>
            </w:r>
          </w:p>
          <w:p w14:paraId="44DFF07B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Газоанализатор должен иметь память на события.</w:t>
            </w:r>
          </w:p>
          <w:p w14:paraId="5E197201" w14:textId="77777777" w:rsidR="00A70BC0" w:rsidRPr="00A70BC0" w:rsidRDefault="00A70BC0" w:rsidP="00A70BC0">
            <w:pPr>
              <w:suppressAutoHyphens w:val="0"/>
              <w:ind w:left="113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Газоанализатор должен соответствовать требованиям безопасности ГОСТ 12.2.007.0-75 и ГОСТ Р 51350-99.</w:t>
            </w:r>
          </w:p>
        </w:tc>
      </w:tr>
      <w:tr w:rsidR="00A70BC0" w:rsidRPr="00A70BC0" w14:paraId="3A408817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F9A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70BC0">
              <w:rPr>
                <w:b/>
                <w:bCs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494" w14:textId="77777777" w:rsidR="00A70BC0" w:rsidRPr="00A70BC0" w:rsidRDefault="00A70BC0" w:rsidP="00A70BC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70BC0">
              <w:rPr>
                <w:b/>
                <w:bCs/>
                <w:sz w:val="22"/>
                <w:szCs w:val="22"/>
                <w:lang w:eastAsia="ru-RU"/>
              </w:rPr>
              <w:t>Требования к документации:</w:t>
            </w:r>
          </w:p>
          <w:p w14:paraId="55B46CFE" w14:textId="77777777" w:rsidR="00A70BC0" w:rsidRPr="00A70BC0" w:rsidRDefault="00A70BC0" w:rsidP="00A70BC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434" w14:textId="77777777" w:rsidR="00A70BC0" w:rsidRPr="00A70BC0" w:rsidRDefault="00A70BC0" w:rsidP="00A70B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Комплект технической документации:</w:t>
            </w:r>
          </w:p>
          <w:p w14:paraId="1FCD5FE5" w14:textId="77777777" w:rsidR="00A70BC0" w:rsidRPr="00A70BC0" w:rsidRDefault="00A70BC0" w:rsidP="00A70BC0">
            <w:pPr>
              <w:numPr>
                <w:ilvl w:val="0"/>
                <w:numId w:val="19"/>
              </w:num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руководство по эксплуатации;</w:t>
            </w:r>
          </w:p>
          <w:p w14:paraId="24E4A617" w14:textId="77777777" w:rsidR="00A70BC0" w:rsidRPr="00A70BC0" w:rsidRDefault="00A70BC0" w:rsidP="00A70BC0">
            <w:pPr>
              <w:numPr>
                <w:ilvl w:val="0"/>
                <w:numId w:val="19"/>
              </w:num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методика поверки;</w:t>
            </w:r>
          </w:p>
          <w:p w14:paraId="72C48849" w14:textId="77777777" w:rsidR="00A70BC0" w:rsidRPr="00A70BC0" w:rsidRDefault="00A70BC0" w:rsidP="00A70BC0">
            <w:pPr>
              <w:numPr>
                <w:ilvl w:val="0"/>
                <w:numId w:val="19"/>
              </w:num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свидетельство о первичной поверке;</w:t>
            </w:r>
          </w:p>
          <w:p w14:paraId="78AD40BE" w14:textId="77777777" w:rsidR="00A70BC0" w:rsidRPr="00A70BC0" w:rsidRDefault="00A70BC0" w:rsidP="00A70BC0">
            <w:pPr>
              <w:numPr>
                <w:ilvl w:val="0"/>
                <w:numId w:val="19"/>
              </w:num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копия сертификата соответствия ТР ТС 012/2011 «О безопасности оборудования для работы во взрывоопасных средах»;</w:t>
            </w:r>
          </w:p>
          <w:p w14:paraId="2999AC57" w14:textId="77777777" w:rsidR="00A70BC0" w:rsidRPr="00A70BC0" w:rsidRDefault="00A70BC0" w:rsidP="00A70BC0">
            <w:pPr>
              <w:numPr>
                <w:ilvl w:val="0"/>
                <w:numId w:val="19"/>
              </w:num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копия декларации о соответствии ТР ТС 020/2011 «Электромагнитная совместимость технических средств».</w:t>
            </w:r>
          </w:p>
          <w:p w14:paraId="07754E11" w14:textId="77777777" w:rsidR="00A70BC0" w:rsidRPr="00A70BC0" w:rsidRDefault="00A70BC0" w:rsidP="00A70BC0">
            <w:pPr>
              <w:tabs>
                <w:tab w:val="left" w:pos="972"/>
              </w:tabs>
              <w:suppressAutoHyphens w:val="0"/>
              <w:ind w:right="141"/>
              <w:contextualSpacing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Эксплуатационная, техническая, методическая документация должны быть на русском языке.</w:t>
            </w:r>
          </w:p>
        </w:tc>
      </w:tr>
      <w:tr w:rsidR="00A70BC0" w:rsidRPr="00A70BC0" w14:paraId="2BEC6740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0BF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9C9" w14:textId="77777777" w:rsidR="00A70BC0" w:rsidRPr="00A70BC0" w:rsidRDefault="00A70BC0" w:rsidP="00A70BC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Требования безопасности: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B29" w14:textId="77777777" w:rsidR="00A70BC0" w:rsidRPr="00A70BC0" w:rsidRDefault="00A70BC0" w:rsidP="00A70BC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Оборудование не должно создавать опасных и вредных производственных факторов и требовать применения специальных средств защиты персонала. Воздействие на работников вредных факторов не должно превышать гигиенических нормативов, установленных соответствующими ГОСТ, санитарными правилами</w:t>
            </w:r>
          </w:p>
        </w:tc>
      </w:tr>
      <w:tr w:rsidR="00A70BC0" w:rsidRPr="00A70BC0" w14:paraId="1C07AB10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68C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99" w14:textId="77777777" w:rsidR="00A70BC0" w:rsidRPr="00A70BC0" w:rsidRDefault="00A70BC0" w:rsidP="00A70BC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Требования к сервису, гарантии: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A07" w14:textId="77777777" w:rsidR="00A70BC0" w:rsidRPr="00A70BC0" w:rsidRDefault="00A70BC0" w:rsidP="00A70BC0">
            <w:pPr>
              <w:numPr>
                <w:ilvl w:val="0"/>
                <w:numId w:val="20"/>
              </w:numPr>
              <w:tabs>
                <w:tab w:val="left" w:pos="297"/>
              </w:tabs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 xml:space="preserve">Гарантийный срок эксплуатации газоанализатора </w:t>
            </w:r>
            <w:proofErr w:type="gramStart"/>
            <w:r w:rsidRPr="00A70BC0">
              <w:rPr>
                <w:rFonts w:eastAsia="Calibri"/>
                <w:sz w:val="22"/>
                <w:szCs w:val="22"/>
                <w:lang w:eastAsia="en-US"/>
              </w:rPr>
              <w:t>–  не</w:t>
            </w:r>
            <w:proofErr w:type="gramEnd"/>
            <w:r w:rsidRPr="00A70BC0">
              <w:rPr>
                <w:rFonts w:eastAsia="Calibri"/>
                <w:sz w:val="22"/>
                <w:szCs w:val="22"/>
                <w:lang w:eastAsia="en-US"/>
              </w:rPr>
              <w:t xml:space="preserve"> менее 12 месяцев со дня отгрузки. </w:t>
            </w:r>
          </w:p>
          <w:p w14:paraId="154E510C" w14:textId="77777777" w:rsidR="00A70BC0" w:rsidRPr="00A70BC0" w:rsidRDefault="00A70BC0" w:rsidP="00A70BC0">
            <w:pPr>
              <w:numPr>
                <w:ilvl w:val="0"/>
                <w:numId w:val="20"/>
              </w:numPr>
              <w:tabs>
                <w:tab w:val="left" w:pos="297"/>
              </w:tabs>
              <w:suppressAutoHyphens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sz w:val="22"/>
                <w:szCs w:val="22"/>
                <w:lang w:eastAsia="en-US"/>
              </w:rPr>
              <w:t>Гарантийный срок эксплуатации датчиков (сенсоров) – не менее 12 месяцев со дня отгрузки.</w:t>
            </w:r>
          </w:p>
          <w:p w14:paraId="7887FD2B" w14:textId="77777777" w:rsidR="00A70BC0" w:rsidRPr="00A70BC0" w:rsidRDefault="00A70BC0" w:rsidP="00A70BC0">
            <w:pPr>
              <w:tabs>
                <w:tab w:val="left" w:pos="297"/>
              </w:tabs>
              <w:suppressAutoHyphens w:val="0"/>
              <w:ind w:left="297" w:hanging="297"/>
              <w:jc w:val="both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3.</w:t>
            </w:r>
            <w:r w:rsidRPr="00A70BC0">
              <w:rPr>
                <w:sz w:val="22"/>
                <w:szCs w:val="22"/>
                <w:lang w:eastAsia="ru-RU"/>
              </w:rPr>
              <w:tab/>
              <w:t>Поставляемый Товар должен быть серийным.</w:t>
            </w:r>
          </w:p>
          <w:p w14:paraId="14084339" w14:textId="77777777" w:rsidR="00A70BC0" w:rsidRPr="00A70BC0" w:rsidRDefault="00A70BC0" w:rsidP="00A70BC0">
            <w:pPr>
              <w:tabs>
                <w:tab w:val="left" w:pos="297"/>
              </w:tabs>
              <w:suppressAutoHyphens w:val="0"/>
              <w:ind w:left="297" w:hanging="297"/>
              <w:jc w:val="both"/>
              <w:rPr>
                <w:sz w:val="22"/>
                <w:szCs w:val="22"/>
                <w:lang w:eastAsia="ru-RU"/>
              </w:rPr>
            </w:pPr>
            <w:r w:rsidRPr="00A70BC0">
              <w:rPr>
                <w:sz w:val="22"/>
                <w:szCs w:val="22"/>
                <w:lang w:eastAsia="ru-RU"/>
              </w:rPr>
              <w:t>4.</w:t>
            </w:r>
            <w:r w:rsidRPr="00A70BC0">
              <w:rPr>
                <w:sz w:val="22"/>
                <w:szCs w:val="22"/>
                <w:lang w:eastAsia="ru-RU"/>
              </w:rPr>
              <w:tab/>
              <w:t>В период гарантийного срока Поставщик обязан заменить некачественный Товар в течение 10 (рабочих) дней, со дня следующего за днем получения заявки от Получателя. Расходы, связанные с транспортировкой неисправного Товара, осуществляются за счет Поставщика.</w:t>
            </w:r>
          </w:p>
        </w:tc>
      </w:tr>
      <w:tr w:rsidR="00A70BC0" w:rsidRPr="00A70BC0" w14:paraId="016F2898" w14:textId="77777777" w:rsidTr="00F07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235" w:type="dxa"/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7FB" w14:textId="77777777" w:rsidR="00A70BC0" w:rsidRPr="00A70BC0" w:rsidRDefault="00A70BC0" w:rsidP="00A70BC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9D9" w14:textId="77777777" w:rsidR="00A70BC0" w:rsidRPr="00A70BC0" w:rsidRDefault="00A70BC0" w:rsidP="00A70BC0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70BC0">
              <w:rPr>
                <w:b/>
                <w:sz w:val="22"/>
                <w:szCs w:val="22"/>
                <w:lang w:eastAsia="ru-RU"/>
              </w:rPr>
              <w:t>Метрологическое обеспечение: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8CD" w14:textId="77777777" w:rsidR="00A70BC0" w:rsidRPr="00A70BC0" w:rsidRDefault="00A70BC0" w:rsidP="00A70BC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Тип средств измерений, входящих в комплект поставки, должен быть утверждён в установленном порядке и внесён в Федеральный информационный фонд по обеспечению единства измерений.</w:t>
            </w:r>
          </w:p>
          <w:p w14:paraId="44638AC3" w14:textId="77777777" w:rsidR="00A70BC0" w:rsidRPr="00A70BC0" w:rsidRDefault="00A70BC0" w:rsidP="00A70BC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СИ при поставке должны сопровождаться следующей документацией:</w:t>
            </w:r>
          </w:p>
          <w:p w14:paraId="39CF2FF6" w14:textId="77777777" w:rsidR="00A70BC0" w:rsidRPr="00A70BC0" w:rsidRDefault="00A70BC0" w:rsidP="00A70BC0">
            <w:pPr>
              <w:numPr>
                <w:ilvl w:val="0"/>
                <w:numId w:val="16"/>
              </w:numPr>
              <w:tabs>
                <w:tab w:val="left" w:pos="635"/>
              </w:tabs>
              <w:suppressAutoHyphens w:val="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свидетельством (сертификатом) об утверждении типа средства</w:t>
            </w:r>
          </w:p>
          <w:p w14:paraId="5C6FB107" w14:textId="77777777" w:rsidR="00A70BC0" w:rsidRPr="00A70BC0" w:rsidRDefault="00A70BC0" w:rsidP="00A70BC0">
            <w:pPr>
              <w:tabs>
                <w:tab w:val="left" w:pos="635"/>
              </w:tabs>
              <w:suppressAutoHyphens w:val="0"/>
              <w:ind w:left="360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 xml:space="preserve">      измерения;</w:t>
            </w:r>
          </w:p>
          <w:p w14:paraId="43E75061" w14:textId="77777777" w:rsidR="00A70BC0" w:rsidRPr="00A70BC0" w:rsidRDefault="00A70BC0" w:rsidP="00A70BC0">
            <w:pPr>
              <w:numPr>
                <w:ilvl w:val="0"/>
                <w:numId w:val="16"/>
              </w:numPr>
              <w:tabs>
                <w:tab w:val="left" w:pos="635"/>
              </w:tabs>
              <w:suppressAutoHyphens w:val="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BC0">
              <w:rPr>
                <w:rFonts w:eastAsia="Calibri"/>
                <w:bCs/>
                <w:sz w:val="22"/>
                <w:szCs w:val="22"/>
                <w:lang w:eastAsia="en-US"/>
              </w:rPr>
              <w:t>свидетельством (сертификатом) об утверждении типа средства     измерения;</w:t>
            </w:r>
          </w:p>
          <w:p w14:paraId="1C03763A" w14:textId="77777777" w:rsidR="00A70BC0" w:rsidRPr="00A70BC0" w:rsidRDefault="00A70BC0" w:rsidP="00A70BC0">
            <w:pPr>
              <w:numPr>
                <w:ilvl w:val="0"/>
                <w:numId w:val="16"/>
              </w:numPr>
              <w:tabs>
                <w:tab w:val="left" w:pos="635"/>
              </w:tabs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ab/>
              <w:t>описанием типа (приложением к сертификату (свидетельству);</w:t>
            </w:r>
          </w:p>
          <w:p w14:paraId="4BDB5281" w14:textId="77777777" w:rsidR="00A70BC0" w:rsidRPr="00A70BC0" w:rsidRDefault="00A70BC0" w:rsidP="00A70BC0">
            <w:pPr>
              <w:numPr>
                <w:ilvl w:val="0"/>
                <w:numId w:val="16"/>
              </w:numPr>
              <w:tabs>
                <w:tab w:val="left" w:pos="635"/>
              </w:tabs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ab/>
              <w:t>методикой поверки средства измерения данного типа;</w:t>
            </w:r>
          </w:p>
          <w:p w14:paraId="37F90AFC" w14:textId="77777777" w:rsidR="00A70BC0" w:rsidRPr="00A70BC0" w:rsidRDefault="00A70BC0" w:rsidP="00A70BC0">
            <w:pPr>
              <w:numPr>
                <w:ilvl w:val="0"/>
                <w:numId w:val="16"/>
              </w:numPr>
              <w:tabs>
                <w:tab w:val="left" w:pos="635"/>
              </w:tabs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ab/>
              <w:t>свидетельством о первичной поверке.</w:t>
            </w:r>
          </w:p>
          <w:p w14:paraId="68274381" w14:textId="77777777" w:rsidR="00A70BC0" w:rsidRPr="00A70BC0" w:rsidRDefault="00A70BC0" w:rsidP="00A70BC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 xml:space="preserve">Поставщик СИ должен провести его первичную поверку в соответствии с утвержденной в установленном порядке методикой поверки. </w:t>
            </w:r>
          </w:p>
          <w:p w14:paraId="4555A386" w14:textId="77777777" w:rsidR="00A70BC0" w:rsidRPr="00A70BC0" w:rsidRDefault="00A70BC0" w:rsidP="00A70BC0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0BC0">
              <w:rPr>
                <w:bCs/>
                <w:sz w:val="22"/>
                <w:szCs w:val="22"/>
                <w:lang w:eastAsia="ru-RU"/>
              </w:rPr>
              <w:t>Срок до окончания действия свидетельства о поверке на дату поставки должен быть не менее 2/3 между поверочного интервала.</w:t>
            </w:r>
          </w:p>
        </w:tc>
      </w:tr>
      <w:tr w:rsidR="00A70BC0" w:rsidRPr="00A70BC0" w14:paraId="00C62D99" w14:textId="77777777" w:rsidTr="00F073EB">
        <w:trPr>
          <w:gridAfter w:val="1"/>
          <w:wAfter w:w="22" w:type="dxa"/>
          <w:trHeight w:val="326"/>
        </w:trPr>
        <w:tc>
          <w:tcPr>
            <w:tcW w:w="658" w:type="dxa"/>
            <w:gridSpan w:val="2"/>
          </w:tcPr>
          <w:p w14:paraId="20750BB0" w14:textId="77777777" w:rsidR="00A70BC0" w:rsidRPr="00A70BC0" w:rsidRDefault="00A70BC0" w:rsidP="00A70BC0">
            <w:pPr>
              <w:tabs>
                <w:tab w:val="right" w:pos="4212"/>
              </w:tabs>
              <w:suppressAutoHyphens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30" w:type="dxa"/>
            <w:gridSpan w:val="2"/>
            <w:shd w:val="clear" w:color="auto" w:fill="auto"/>
          </w:tcPr>
          <w:p w14:paraId="454E28D1" w14:textId="77777777" w:rsidR="00A70BC0" w:rsidRPr="00A70BC0" w:rsidRDefault="00A70BC0" w:rsidP="00A70BC0">
            <w:pPr>
              <w:tabs>
                <w:tab w:val="right" w:pos="4212"/>
              </w:tabs>
              <w:suppressAutoHyphens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6280C303" w14:textId="77777777" w:rsidR="00A70BC0" w:rsidRPr="00A70BC0" w:rsidRDefault="00A70BC0" w:rsidP="00A70BC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4DD00273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6. Требования к качеству и безопасности поставляемого Товара</w:t>
      </w:r>
      <w:r w:rsidRPr="00A70BC0">
        <w:rPr>
          <w:sz w:val="22"/>
          <w:szCs w:val="22"/>
          <w:lang w:eastAsia="ru-RU"/>
        </w:rPr>
        <w:t>:</w:t>
      </w:r>
    </w:p>
    <w:p w14:paraId="3FFAD4A3" w14:textId="77777777" w:rsidR="00A70BC0" w:rsidRPr="00A70BC0" w:rsidRDefault="00A70BC0" w:rsidP="00A70BC0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1134"/>
          <w:tab w:val="left" w:pos="1276"/>
        </w:tabs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6.1 Качество товара должно соответствовать требованиям действующих Российских стандартов или технических условий изготовителей, что должно быть подтверждено паспортами качества и соответствующими сертификатами.</w:t>
      </w:r>
    </w:p>
    <w:p w14:paraId="14BC54DF" w14:textId="77777777" w:rsidR="00A70BC0" w:rsidRPr="00A70BC0" w:rsidRDefault="00A70BC0" w:rsidP="00A70BC0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>6.2 Товар должен соответствовать требованиям безопасности, в том числе экологическим, установленными действующим законодательством РФ.</w:t>
      </w:r>
    </w:p>
    <w:p w14:paraId="1810B8D2" w14:textId="77777777" w:rsidR="00A70BC0" w:rsidRPr="00A70BC0" w:rsidRDefault="00A70BC0" w:rsidP="00A70BC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6.3 Товар не заложен, не арестован, не является предметом исков третьих лиц.</w:t>
      </w:r>
    </w:p>
    <w:p w14:paraId="548F008B" w14:textId="77777777" w:rsidR="00A70BC0" w:rsidRPr="00A70BC0" w:rsidRDefault="00A70BC0" w:rsidP="00A70BC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6.4 Поставляемый товар должен быть новым товаром (товаром, который не был в употреблении, в ремонте,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0D14AD70" w14:textId="77777777" w:rsidR="00A70BC0" w:rsidRPr="00A70BC0" w:rsidRDefault="00A70BC0" w:rsidP="00A70BC0">
      <w:pPr>
        <w:tabs>
          <w:tab w:val="left" w:pos="567"/>
        </w:tabs>
        <w:suppressAutoHyphens w:val="0"/>
        <w:jc w:val="both"/>
        <w:rPr>
          <w:b/>
          <w:sz w:val="22"/>
          <w:szCs w:val="22"/>
          <w:lang w:eastAsia="ru-RU"/>
        </w:rPr>
      </w:pPr>
    </w:p>
    <w:p w14:paraId="6D4E6C77" w14:textId="77777777" w:rsidR="00A70BC0" w:rsidRPr="00A70BC0" w:rsidRDefault="00A70BC0" w:rsidP="00A70BC0">
      <w:pPr>
        <w:tabs>
          <w:tab w:val="left" w:pos="567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7. Требования к документации:</w:t>
      </w:r>
    </w:p>
    <w:p w14:paraId="74A3F5B5" w14:textId="77777777" w:rsidR="00A70BC0" w:rsidRPr="00A70BC0" w:rsidRDefault="00A70BC0" w:rsidP="00A70BC0">
      <w:pPr>
        <w:tabs>
          <w:tab w:val="left" w:pos="284"/>
          <w:tab w:val="left" w:pos="567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>Вся документация должна быть поставлена на русском языке.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документации.</w:t>
      </w:r>
    </w:p>
    <w:p w14:paraId="511610EC" w14:textId="77777777" w:rsidR="00A70BC0" w:rsidRPr="00A70BC0" w:rsidRDefault="00A70BC0" w:rsidP="00A70BC0">
      <w:pPr>
        <w:tabs>
          <w:tab w:val="left" w:pos="284"/>
          <w:tab w:val="left" w:pos="567"/>
        </w:tabs>
        <w:suppressAutoHyphens w:val="0"/>
        <w:jc w:val="both"/>
        <w:rPr>
          <w:b/>
          <w:sz w:val="22"/>
          <w:szCs w:val="22"/>
          <w:lang w:eastAsia="ru-RU"/>
        </w:rPr>
      </w:pPr>
    </w:p>
    <w:p w14:paraId="5694046D" w14:textId="77777777" w:rsidR="00A70BC0" w:rsidRPr="00A70BC0" w:rsidRDefault="00A70BC0" w:rsidP="00A70BC0">
      <w:pPr>
        <w:tabs>
          <w:tab w:val="left" w:pos="284"/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8. Срок (период) поставки товара</w:t>
      </w:r>
      <w:r w:rsidRPr="00A70BC0">
        <w:rPr>
          <w:sz w:val="22"/>
          <w:szCs w:val="22"/>
          <w:lang w:eastAsia="ru-RU"/>
        </w:rPr>
        <w:t>:</w:t>
      </w:r>
    </w:p>
    <w:p w14:paraId="077AA982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>Срок поставки товара – не позднее 55 календарных дней с момента заключения договора.</w:t>
      </w:r>
    </w:p>
    <w:p w14:paraId="07C5A6E3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44A010F5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70BC0">
        <w:rPr>
          <w:rFonts w:eastAsia="Calibri"/>
          <w:b/>
          <w:sz w:val="22"/>
          <w:szCs w:val="22"/>
          <w:lang w:eastAsia="en-US"/>
        </w:rPr>
        <w:t>9. Место поставки товара:</w:t>
      </w:r>
    </w:p>
    <w:p w14:paraId="4BB74D36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 xml:space="preserve">Поставка товара осуществляется по адресу: Свердловская область, г. Березовский, </w:t>
      </w:r>
    </w:p>
    <w:p w14:paraId="5219F206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>ул. Ленина, 52.</w:t>
      </w:r>
    </w:p>
    <w:p w14:paraId="4866AF1D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2658CAB2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70BC0">
        <w:rPr>
          <w:rFonts w:eastAsia="Calibri"/>
          <w:b/>
          <w:sz w:val="22"/>
          <w:szCs w:val="22"/>
          <w:lang w:eastAsia="en-US"/>
        </w:rPr>
        <w:t>10. Условия и порядок поставки товара:</w:t>
      </w:r>
    </w:p>
    <w:p w14:paraId="3764DC5E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70BC0">
        <w:rPr>
          <w:rFonts w:eastAsia="Calibri"/>
          <w:sz w:val="22"/>
          <w:szCs w:val="22"/>
          <w:lang w:eastAsia="en-US"/>
        </w:rPr>
        <w:t xml:space="preserve">Поставка товара осуществляется силами и транспортом поставщика и за его счет. Разгрузка товара осуществляется силами покупателя. Поставщик должен письменно уведомить заказчика о дате и времени поставки товара. Адрес электронной почты: </w:t>
      </w:r>
      <w:hyperlink r:id="rId10" w:history="1">
        <w:r w:rsidRPr="00A70BC0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bervodokanal</w:t>
        </w:r>
        <w:r w:rsidRPr="00A70BC0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A70BC0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bk</w:t>
        </w:r>
        <w:r w:rsidRPr="00A70BC0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A70BC0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A70BC0">
        <w:rPr>
          <w:rFonts w:eastAsia="Calibri"/>
          <w:sz w:val="22"/>
          <w:szCs w:val="22"/>
          <w:lang w:eastAsia="en-US"/>
        </w:rPr>
        <w:t xml:space="preserve">. Поставщик обязуется произвести поставку товара </w:t>
      </w:r>
      <w:proofErr w:type="gramStart"/>
      <w:r w:rsidRPr="00A70BC0">
        <w:rPr>
          <w:rFonts w:eastAsia="Calibri"/>
          <w:sz w:val="22"/>
          <w:szCs w:val="22"/>
          <w:lang w:eastAsia="en-US"/>
        </w:rPr>
        <w:t>согласно технического задания</w:t>
      </w:r>
      <w:proofErr w:type="gramEnd"/>
      <w:r w:rsidRPr="00A70BC0">
        <w:rPr>
          <w:rFonts w:eastAsia="Calibri"/>
          <w:sz w:val="22"/>
          <w:szCs w:val="22"/>
          <w:lang w:eastAsia="en-US"/>
        </w:rPr>
        <w:t xml:space="preserve"> и в соответствии с договором.</w:t>
      </w:r>
    </w:p>
    <w:p w14:paraId="3366C37D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  <w:lang w:eastAsia="ru-RU"/>
        </w:rPr>
      </w:pPr>
    </w:p>
    <w:p w14:paraId="086654E0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b/>
          <w:sz w:val="22"/>
          <w:szCs w:val="22"/>
          <w:lang w:eastAsia="ru-RU"/>
        </w:rPr>
      </w:pPr>
      <w:r w:rsidRPr="00A70BC0">
        <w:rPr>
          <w:b/>
          <w:sz w:val="22"/>
          <w:szCs w:val="22"/>
          <w:lang w:eastAsia="ru-RU"/>
        </w:rPr>
        <w:t>11. Требования к упаковке, транспортировке Товара:</w:t>
      </w:r>
    </w:p>
    <w:p w14:paraId="58D2CD45" w14:textId="77777777" w:rsidR="00A70BC0" w:rsidRPr="00A70BC0" w:rsidRDefault="00A70BC0" w:rsidP="00A70BC0">
      <w:pPr>
        <w:tabs>
          <w:tab w:val="left" w:pos="284"/>
        </w:tabs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Товар поставляется в упаковке завода-изготовителя,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 Все риски, связанные с порчей или случайной гибелью товара, переходят с поставщика на заказчика с момента передачи товара заказчику.</w:t>
      </w:r>
    </w:p>
    <w:p w14:paraId="2A19BD3D" w14:textId="77777777" w:rsidR="00A70BC0" w:rsidRPr="00A70BC0" w:rsidRDefault="00A70BC0" w:rsidP="00A70BC0">
      <w:pPr>
        <w:widowControl w:val="0"/>
        <w:tabs>
          <w:tab w:val="left" w:pos="284"/>
        </w:tabs>
        <w:suppressAutoHyphens w:val="0"/>
        <w:contextualSpacing/>
        <w:jc w:val="both"/>
        <w:rPr>
          <w:b/>
          <w:bCs/>
          <w:color w:val="000001"/>
          <w:spacing w:val="3"/>
          <w:sz w:val="22"/>
          <w:szCs w:val="22"/>
          <w:lang w:eastAsia="en-US"/>
        </w:rPr>
      </w:pPr>
    </w:p>
    <w:p w14:paraId="387D9996" w14:textId="77777777" w:rsidR="00A70BC0" w:rsidRPr="00A70BC0" w:rsidRDefault="00A70BC0" w:rsidP="00A70BC0">
      <w:pPr>
        <w:widowControl w:val="0"/>
        <w:tabs>
          <w:tab w:val="left" w:pos="284"/>
        </w:tabs>
        <w:suppressAutoHyphens w:val="0"/>
        <w:contextualSpacing/>
        <w:jc w:val="both"/>
        <w:rPr>
          <w:spacing w:val="3"/>
          <w:sz w:val="22"/>
          <w:szCs w:val="22"/>
          <w:lang w:eastAsia="en-US"/>
        </w:rPr>
      </w:pPr>
      <w:r w:rsidRPr="00A70BC0">
        <w:rPr>
          <w:b/>
          <w:bCs/>
          <w:color w:val="000001"/>
          <w:spacing w:val="3"/>
          <w:sz w:val="22"/>
          <w:szCs w:val="22"/>
          <w:lang w:eastAsia="en-US"/>
        </w:rPr>
        <w:t xml:space="preserve">12. Порядок сдачи-приемки товара: </w:t>
      </w:r>
      <w:r w:rsidRPr="00A70BC0">
        <w:rPr>
          <w:spacing w:val="3"/>
          <w:sz w:val="22"/>
          <w:szCs w:val="22"/>
          <w:lang w:eastAsia="en-US"/>
        </w:rPr>
        <w:t xml:space="preserve">Поставка Товара должна быть осуществлена одной партией. Вместе с товаром Поставщик передает Заказчику документы, оформленные в соответствии с действующим законодательством РФ: счет, счет-фактуру, товарную накладную (форма ТОРГ-12) (либо универсальный передаточный документ), товарно-транспортную накладную (форма № 1-Т) на товар, акт приемки-передачи товара, документацию, подтверждающую качество товара, предусмотренную в п.5 п.4 технического задания, сертификаты должны быть заверены поставщиком надлежащим образом. </w:t>
      </w:r>
    </w:p>
    <w:p w14:paraId="4579F3D2" w14:textId="504590CC" w:rsidR="00A70BC0" w:rsidRDefault="00A70BC0" w:rsidP="00A70BC0">
      <w:pPr>
        <w:suppressAutoHyphens w:val="0"/>
        <w:contextualSpacing/>
        <w:jc w:val="both"/>
        <w:rPr>
          <w:b/>
          <w:sz w:val="22"/>
          <w:szCs w:val="22"/>
          <w:lang w:eastAsia="ru-RU"/>
        </w:rPr>
      </w:pPr>
    </w:p>
    <w:p w14:paraId="17D0C7A4" w14:textId="3F8796C6" w:rsidR="00A70BC0" w:rsidRDefault="00A70BC0" w:rsidP="00A70BC0">
      <w:pPr>
        <w:suppressAutoHyphens w:val="0"/>
        <w:contextualSpacing/>
        <w:jc w:val="both"/>
        <w:rPr>
          <w:b/>
          <w:sz w:val="22"/>
          <w:szCs w:val="22"/>
          <w:lang w:eastAsia="ru-RU"/>
        </w:rPr>
      </w:pPr>
    </w:p>
    <w:p w14:paraId="4FB00C9C" w14:textId="2FE09EFB" w:rsidR="00A70BC0" w:rsidRDefault="00A70BC0" w:rsidP="00A70BC0">
      <w:pPr>
        <w:suppressAutoHyphens w:val="0"/>
        <w:contextualSpacing/>
        <w:jc w:val="both"/>
        <w:rPr>
          <w:b/>
          <w:sz w:val="22"/>
          <w:szCs w:val="22"/>
          <w:lang w:eastAsia="ru-RU"/>
        </w:rPr>
      </w:pPr>
    </w:p>
    <w:p w14:paraId="573FC2A6" w14:textId="77777777" w:rsidR="00A70BC0" w:rsidRPr="00A70BC0" w:rsidRDefault="00A70BC0" w:rsidP="00A70BC0">
      <w:pPr>
        <w:suppressAutoHyphens w:val="0"/>
        <w:contextualSpacing/>
        <w:jc w:val="both"/>
        <w:rPr>
          <w:b/>
          <w:sz w:val="22"/>
          <w:szCs w:val="22"/>
          <w:lang w:eastAsia="ru-RU"/>
        </w:rPr>
      </w:pPr>
      <w:bookmarkStart w:id="1" w:name="_GoBack"/>
      <w:bookmarkEnd w:id="1"/>
    </w:p>
    <w:p w14:paraId="7B74C29E" w14:textId="77777777" w:rsidR="00BC0253" w:rsidRPr="00A70BC0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lastRenderedPageBreak/>
        <w:t xml:space="preserve">Покупатель                                                                                  Поставщик </w:t>
      </w:r>
    </w:p>
    <w:p w14:paraId="495B1EE9" w14:textId="77777777" w:rsidR="00BC0253" w:rsidRPr="00A70BC0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 xml:space="preserve">МУП БВКХ «Водоканал» </w:t>
      </w:r>
      <w:r w:rsidR="00A00094" w:rsidRPr="00A70BC0">
        <w:rPr>
          <w:sz w:val="22"/>
          <w:szCs w:val="22"/>
          <w:lang w:eastAsia="ru-RU"/>
        </w:rPr>
        <w:tab/>
      </w:r>
      <w:r w:rsidR="00A00094" w:rsidRPr="00A70BC0">
        <w:rPr>
          <w:sz w:val="22"/>
          <w:szCs w:val="22"/>
          <w:lang w:eastAsia="ru-RU"/>
        </w:rPr>
        <w:tab/>
      </w:r>
      <w:r w:rsidR="00A00094" w:rsidRPr="00A70BC0">
        <w:rPr>
          <w:sz w:val="22"/>
          <w:szCs w:val="22"/>
          <w:lang w:eastAsia="ru-RU"/>
        </w:rPr>
        <w:tab/>
      </w:r>
      <w:r w:rsidR="00A00094" w:rsidRPr="00A70BC0">
        <w:rPr>
          <w:sz w:val="22"/>
          <w:szCs w:val="22"/>
          <w:lang w:eastAsia="ru-RU"/>
        </w:rPr>
        <w:tab/>
      </w:r>
      <w:r w:rsidR="00A00094" w:rsidRPr="00A70BC0">
        <w:rPr>
          <w:sz w:val="22"/>
          <w:szCs w:val="22"/>
          <w:lang w:eastAsia="ru-RU"/>
        </w:rPr>
        <w:tab/>
      </w:r>
    </w:p>
    <w:p w14:paraId="47BD9FB2" w14:textId="77777777" w:rsidR="008F525B" w:rsidRPr="00A70BC0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14:paraId="50A43B57" w14:textId="77777777" w:rsidR="00BC0253" w:rsidRPr="00A70BC0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____________ (</w:t>
      </w:r>
      <w:r w:rsidR="008F525B" w:rsidRPr="00A70BC0">
        <w:rPr>
          <w:sz w:val="22"/>
          <w:szCs w:val="22"/>
          <w:lang w:eastAsia="ru-RU"/>
        </w:rPr>
        <w:t>Алешина А.А</w:t>
      </w:r>
      <w:r w:rsidRPr="00A70BC0">
        <w:rPr>
          <w:sz w:val="22"/>
          <w:szCs w:val="22"/>
          <w:lang w:eastAsia="ru-RU"/>
        </w:rPr>
        <w:t>.)                                                  __________ (</w:t>
      </w:r>
      <w:r w:rsidR="00641D3D" w:rsidRPr="00A70BC0">
        <w:rPr>
          <w:sz w:val="22"/>
          <w:szCs w:val="22"/>
          <w:lang w:eastAsia="ru-RU"/>
        </w:rPr>
        <w:t>______________)</w:t>
      </w:r>
      <w:r w:rsidRPr="00A70BC0">
        <w:rPr>
          <w:sz w:val="22"/>
          <w:szCs w:val="22"/>
          <w:lang w:eastAsia="ru-RU"/>
        </w:rPr>
        <w:t xml:space="preserve"> </w:t>
      </w:r>
    </w:p>
    <w:p w14:paraId="478563FA" w14:textId="77777777" w:rsidR="00FF55E8" w:rsidRPr="00A70BC0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14:paraId="635952D2" w14:textId="77777777" w:rsidR="00FF55E8" w:rsidRPr="00A70BC0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14:paraId="74CB3CCB" w14:textId="77777777" w:rsidR="008A72BE" w:rsidRPr="00A70BC0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A70BC0">
        <w:rPr>
          <w:bCs/>
          <w:sz w:val="22"/>
          <w:szCs w:val="22"/>
          <w:lang w:eastAsia="ru-RU"/>
        </w:rPr>
        <w:t>Приложение № 3 к Договору</w:t>
      </w:r>
      <w:r w:rsidR="0027472C" w:rsidRPr="00A70BC0">
        <w:rPr>
          <w:bCs/>
          <w:sz w:val="22"/>
          <w:szCs w:val="22"/>
          <w:lang w:eastAsia="ru-RU"/>
        </w:rPr>
        <w:t xml:space="preserve"> </w:t>
      </w:r>
      <w:r w:rsidRPr="00A70BC0">
        <w:rPr>
          <w:caps/>
          <w:sz w:val="22"/>
          <w:szCs w:val="22"/>
          <w:lang w:eastAsia="ru-RU"/>
        </w:rPr>
        <w:t xml:space="preserve">№ </w:t>
      </w:r>
      <w:r w:rsidRPr="00A70BC0">
        <w:rPr>
          <w:bCs/>
          <w:caps/>
          <w:sz w:val="22"/>
          <w:szCs w:val="22"/>
          <w:u w:val="single"/>
          <w:lang w:eastAsia="ru-RU"/>
        </w:rPr>
        <w:t>______</w:t>
      </w:r>
      <w:r w:rsidRPr="00A70BC0">
        <w:rPr>
          <w:bCs/>
          <w:caps/>
          <w:sz w:val="22"/>
          <w:szCs w:val="22"/>
          <w:lang w:eastAsia="ru-RU"/>
        </w:rPr>
        <w:t xml:space="preserve"> </w:t>
      </w:r>
      <w:r w:rsidRPr="00A70BC0">
        <w:rPr>
          <w:bCs/>
          <w:sz w:val="22"/>
          <w:szCs w:val="22"/>
          <w:lang w:val="x-none" w:eastAsia="ru-RU"/>
        </w:rPr>
        <w:t>о</w:t>
      </w:r>
      <w:r w:rsidRPr="00A70BC0">
        <w:rPr>
          <w:bCs/>
          <w:sz w:val="22"/>
          <w:szCs w:val="22"/>
          <w:lang w:eastAsia="ru-RU"/>
        </w:rPr>
        <w:t>т «</w:t>
      </w:r>
      <w:r w:rsidRPr="00A70BC0">
        <w:rPr>
          <w:bCs/>
          <w:sz w:val="22"/>
          <w:szCs w:val="22"/>
          <w:u w:val="single"/>
          <w:lang w:eastAsia="ru-RU"/>
        </w:rPr>
        <w:t>____</w:t>
      </w:r>
      <w:r w:rsidRPr="00A70BC0">
        <w:rPr>
          <w:bCs/>
          <w:sz w:val="22"/>
          <w:szCs w:val="22"/>
          <w:lang w:eastAsia="ru-RU"/>
        </w:rPr>
        <w:t xml:space="preserve">» </w:t>
      </w:r>
      <w:r w:rsidRPr="00A70BC0">
        <w:rPr>
          <w:bCs/>
          <w:sz w:val="22"/>
          <w:szCs w:val="22"/>
          <w:u w:val="single"/>
          <w:lang w:eastAsia="ru-RU"/>
        </w:rPr>
        <w:t>_______</w:t>
      </w:r>
      <w:r w:rsidRPr="00A70BC0">
        <w:rPr>
          <w:bCs/>
          <w:sz w:val="22"/>
          <w:szCs w:val="22"/>
          <w:lang w:eastAsia="ru-RU"/>
        </w:rPr>
        <w:t xml:space="preserve"> 20</w:t>
      </w:r>
      <w:r w:rsidR="00F677B5" w:rsidRPr="00A70BC0">
        <w:rPr>
          <w:bCs/>
          <w:sz w:val="22"/>
          <w:szCs w:val="22"/>
          <w:lang w:eastAsia="ru-RU"/>
        </w:rPr>
        <w:t>2</w:t>
      </w:r>
      <w:r w:rsidR="0027472C" w:rsidRPr="00A70BC0">
        <w:rPr>
          <w:bCs/>
          <w:sz w:val="22"/>
          <w:szCs w:val="22"/>
          <w:lang w:eastAsia="ru-RU"/>
        </w:rPr>
        <w:t>2</w:t>
      </w:r>
      <w:r w:rsidRPr="00A70BC0">
        <w:rPr>
          <w:bCs/>
          <w:sz w:val="22"/>
          <w:szCs w:val="22"/>
          <w:lang w:eastAsia="ru-RU"/>
        </w:rPr>
        <w:t xml:space="preserve"> г.</w:t>
      </w:r>
    </w:p>
    <w:p w14:paraId="33E83746" w14:textId="77777777" w:rsidR="00720DA4" w:rsidRPr="00A70BC0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14:paraId="6E9D5843" w14:textId="77777777" w:rsidR="008A72BE" w:rsidRPr="00A70BC0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>ОБРАЗЕЦ</w:t>
      </w:r>
    </w:p>
    <w:p w14:paraId="254FE865" w14:textId="77777777" w:rsidR="007A552A" w:rsidRPr="00A70BC0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A70BC0">
        <w:rPr>
          <w:sz w:val="22"/>
          <w:szCs w:val="22"/>
          <w:lang w:eastAsia="ru-RU"/>
        </w:rPr>
        <w:t xml:space="preserve">Акт сдачи – приемки товара </w:t>
      </w:r>
    </w:p>
    <w:p w14:paraId="05932D75" w14:textId="77777777" w:rsidR="008A72BE" w:rsidRPr="00A70BC0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F677B5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70BC0">
        <w:rPr>
          <w:color w:val="000000"/>
          <w:spacing w:val="-2"/>
          <w:sz w:val="22"/>
          <w:szCs w:val="22"/>
          <w:lang w:eastAsia="ru-RU"/>
        </w:rPr>
        <w:t>2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14:paraId="7A438EE8" w14:textId="77777777" w:rsidR="00720DA4" w:rsidRPr="00A70BC0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14:paraId="0CCE5D56" w14:textId="77777777" w:rsidR="008A72BE" w:rsidRPr="00A70BC0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A70BC0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й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 w:rsidRPr="00A70BC0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70BC0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70BC0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70BC0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70BC0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 w:rsidRPr="00A70BC0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70BC0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>____</w:t>
      </w:r>
      <w:r w:rsidRPr="00A70BC0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14:paraId="63DF53E1" w14:textId="77777777" w:rsidR="00F47840" w:rsidRPr="00A70BC0" w:rsidRDefault="00F47840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</w:p>
    <w:p w14:paraId="09A1BBF4" w14:textId="77777777" w:rsidR="008A72BE" w:rsidRPr="00A70BC0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Договор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№ ___ </w:t>
      </w:r>
      <w:r w:rsidRPr="00A70BC0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___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A70BC0">
        <w:rPr>
          <w:color w:val="000000"/>
          <w:spacing w:val="-2"/>
          <w:sz w:val="22"/>
          <w:szCs w:val="22"/>
          <w:lang w:eastAsia="ru-RU"/>
        </w:rPr>
        <w:t>20</w:t>
      </w:r>
      <w:r w:rsidR="00F677B5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70BC0">
        <w:rPr>
          <w:color w:val="000000"/>
          <w:spacing w:val="-2"/>
          <w:sz w:val="22"/>
          <w:szCs w:val="22"/>
          <w:lang w:eastAsia="ru-RU"/>
        </w:rPr>
        <w:t>2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П</w:t>
      </w:r>
      <w:r w:rsidRPr="00A70BC0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A70BC0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A70BC0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780CC9" w:rsidRPr="00A70BC0">
        <w:rPr>
          <w:sz w:val="22"/>
          <w:szCs w:val="22"/>
        </w:rPr>
        <w:t>стационарных газоанализаторов в комплекте с датчиками (блоками) для измерения газов</w:t>
      </w:r>
      <w:r w:rsidR="00780CC9" w:rsidRPr="00A70BC0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 w:rsidRPr="00A70BC0">
        <w:rPr>
          <w:color w:val="000000"/>
          <w:spacing w:val="-2"/>
          <w:sz w:val="22"/>
          <w:szCs w:val="22"/>
          <w:lang w:eastAsia="ru-RU"/>
        </w:rPr>
        <w:t>–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A70BC0">
        <w:rPr>
          <w:color w:val="000000"/>
          <w:spacing w:val="-2"/>
          <w:sz w:val="22"/>
          <w:szCs w:val="22"/>
          <w:lang w:eastAsia="ru-RU"/>
        </w:rPr>
        <w:t>.</w:t>
      </w:r>
    </w:p>
    <w:p w14:paraId="1CB4319F" w14:textId="77777777" w:rsidR="008A72BE" w:rsidRPr="00A70BC0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Договоре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Договор</w:t>
      </w:r>
      <w:r w:rsidRPr="00A70BC0">
        <w:rPr>
          <w:color w:val="000000"/>
          <w:spacing w:val="-2"/>
          <w:sz w:val="22"/>
          <w:szCs w:val="22"/>
          <w:lang w:eastAsia="ru-RU"/>
        </w:rPr>
        <w:t>а.</w:t>
      </w:r>
    </w:p>
    <w:p w14:paraId="47E05A28" w14:textId="77777777" w:rsidR="008A72BE" w:rsidRPr="00A70BC0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>___</w:t>
      </w:r>
      <w:r w:rsidRPr="00A70BC0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70BC0">
        <w:rPr>
          <w:color w:val="000000"/>
          <w:spacing w:val="-2"/>
          <w:sz w:val="22"/>
          <w:szCs w:val="22"/>
          <w:lang w:eastAsia="ru-RU"/>
        </w:rPr>
        <w:t>2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14:paraId="04EF8F9F" w14:textId="77777777" w:rsidR="008A72BE" w:rsidRPr="00A70BC0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14:paraId="75656721" w14:textId="77777777" w:rsidR="008A72BE" w:rsidRPr="00A70BC0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14:paraId="4E3248CF" w14:textId="77777777" w:rsidR="008A72BE" w:rsidRPr="00A70BC0" w:rsidRDefault="008A72BE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A70BC0">
        <w:rPr>
          <w:color w:val="000000"/>
          <w:spacing w:val="-2"/>
          <w:sz w:val="22"/>
          <w:szCs w:val="22"/>
          <w:lang w:eastAsia="ru-RU"/>
        </w:rPr>
        <w:t>20</w:t>
      </w:r>
      <w:r w:rsidR="00FA5538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70BC0">
        <w:rPr>
          <w:color w:val="000000"/>
          <w:spacing w:val="-2"/>
          <w:sz w:val="22"/>
          <w:szCs w:val="22"/>
          <w:lang w:eastAsia="ru-RU"/>
        </w:rPr>
        <w:t xml:space="preserve">2 </w:t>
      </w:r>
      <w:r w:rsidRPr="00A70BC0">
        <w:rPr>
          <w:color w:val="000000"/>
          <w:spacing w:val="-2"/>
          <w:sz w:val="22"/>
          <w:szCs w:val="22"/>
          <w:lang w:eastAsia="ru-RU"/>
        </w:rPr>
        <w:t>г</w:t>
      </w:r>
      <w:r w:rsidR="00F47840" w:rsidRPr="00A70BC0">
        <w:rPr>
          <w:color w:val="000000"/>
          <w:spacing w:val="-2"/>
          <w:sz w:val="22"/>
          <w:szCs w:val="22"/>
          <w:lang w:eastAsia="ru-RU"/>
        </w:rPr>
        <w:t>.</w:t>
      </w:r>
      <w:r w:rsidRPr="00A70BC0">
        <w:rPr>
          <w:color w:val="000000"/>
          <w:spacing w:val="-2"/>
          <w:sz w:val="22"/>
          <w:szCs w:val="22"/>
          <w:lang w:eastAsia="ru-RU"/>
        </w:rPr>
        <w:t>, № ___________;</w:t>
      </w:r>
    </w:p>
    <w:p w14:paraId="7A2015B9" w14:textId="77777777" w:rsidR="008A72BE" w:rsidRPr="00A70BC0" w:rsidRDefault="008A72BE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 w:rsidRPr="00A70BC0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A70BC0">
        <w:rPr>
          <w:color w:val="000000"/>
          <w:spacing w:val="-2"/>
          <w:sz w:val="22"/>
          <w:szCs w:val="22"/>
          <w:lang w:eastAsia="ru-RU"/>
        </w:rPr>
        <w:t>20</w:t>
      </w:r>
      <w:r w:rsidR="00FA5538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405621" w:rsidRPr="00A70BC0">
        <w:rPr>
          <w:color w:val="000000"/>
          <w:spacing w:val="-2"/>
          <w:sz w:val="22"/>
          <w:szCs w:val="22"/>
          <w:lang w:eastAsia="ru-RU"/>
        </w:rPr>
        <w:t>2</w:t>
      </w:r>
      <w:r w:rsidR="00847009" w:rsidRPr="00A70BC0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A70BC0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 w:rsidRPr="00A70BC0">
        <w:rPr>
          <w:color w:val="000000"/>
          <w:spacing w:val="-2"/>
          <w:sz w:val="22"/>
          <w:szCs w:val="22"/>
          <w:lang w:eastAsia="ru-RU"/>
        </w:rPr>
        <w:t>___</w:t>
      </w:r>
      <w:r w:rsidRPr="00A70BC0">
        <w:rPr>
          <w:color w:val="000000"/>
          <w:spacing w:val="-2"/>
          <w:sz w:val="22"/>
          <w:szCs w:val="22"/>
          <w:lang w:eastAsia="ru-RU"/>
        </w:rPr>
        <w:t>;</w:t>
      </w:r>
    </w:p>
    <w:p w14:paraId="3BEE42F5" w14:textId="77777777" w:rsidR="008A72BE" w:rsidRPr="00A70BC0" w:rsidRDefault="00720DA4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A70BC0"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A70BC0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14:paraId="3E8B8872" w14:textId="77777777"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14:paraId="09FE5648" w14:textId="77777777"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14:paraId="7D40CBF7" w14:textId="77777777"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14:paraId="39DDAB55" w14:textId="77777777"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14:paraId="0802A53D" w14:textId="77777777"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sectPr w:rsidR="008A72BE" w:rsidRPr="00720DA4" w:rsidSect="00347399">
      <w:pgSz w:w="11906" w:h="16838"/>
      <w:pgMar w:top="851" w:right="566" w:bottom="709" w:left="567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D0EE" w14:textId="77777777" w:rsidR="00EE7B50" w:rsidRDefault="00EE7B50">
      <w:r>
        <w:separator/>
      </w:r>
    </w:p>
  </w:endnote>
  <w:endnote w:type="continuationSeparator" w:id="0">
    <w:p w14:paraId="2AC4426B" w14:textId="77777777" w:rsidR="00EE7B50" w:rsidRDefault="00E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96ED" w14:textId="77777777" w:rsidR="00EE7B50" w:rsidRDefault="00EE7B50">
    <w:pPr>
      <w:pStyle w:val="aff0"/>
      <w:jc w:val="center"/>
    </w:pPr>
  </w:p>
  <w:p w14:paraId="755CFDF4" w14:textId="77777777" w:rsidR="00EE7B50" w:rsidRDefault="00EE7B5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C1F7" w14:textId="77777777" w:rsidR="00EE7B50" w:rsidRDefault="00EE7B50">
      <w:r>
        <w:separator/>
      </w:r>
    </w:p>
  </w:footnote>
  <w:footnote w:type="continuationSeparator" w:id="0">
    <w:p w14:paraId="2D459B96" w14:textId="77777777" w:rsidR="00EE7B50" w:rsidRDefault="00EE7B50">
      <w:r>
        <w:continuationSeparator/>
      </w:r>
    </w:p>
  </w:footnote>
  <w:footnote w:id="1">
    <w:p w14:paraId="7B408D1A" w14:textId="77777777" w:rsidR="00ED7CFC" w:rsidRDefault="00ED7CFC">
      <w:pPr>
        <w:pStyle w:val="afff2"/>
      </w:pPr>
      <w:r>
        <w:rPr>
          <w:rStyle w:val="afffc"/>
        </w:rPr>
        <w:footnoteRef/>
      </w:r>
      <w:r>
        <w:t xml:space="preserve"> </w:t>
      </w:r>
      <w:r w:rsidRPr="000F180B">
        <w:t>В случае если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документации. В таком случае размер обеспечения исполнения Договора составит</w:t>
      </w:r>
      <w:r w:rsidR="000E4DB5">
        <w:t xml:space="preserve"> </w:t>
      </w:r>
      <w:r w:rsidR="00813984">
        <w:t>7,5</w:t>
      </w:r>
      <w:r w:rsidRPr="007F0ADA">
        <w:t xml:space="preserve"> %</w:t>
      </w:r>
      <w:r w:rsidRPr="000F180B">
        <w:t xml:space="preserve"> от начальной (максимальной) цены договора</w:t>
      </w:r>
      <w:r w:rsidR="00A3570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D7715"/>
    <w:multiLevelType w:val="hybridMultilevel"/>
    <w:tmpl w:val="4C04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052BA"/>
    <w:multiLevelType w:val="hybridMultilevel"/>
    <w:tmpl w:val="F5F2FA8A"/>
    <w:lvl w:ilvl="0" w:tplc="D4FAFD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CE347AE"/>
    <w:multiLevelType w:val="multilevel"/>
    <w:tmpl w:val="3738B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B63934"/>
    <w:multiLevelType w:val="hybridMultilevel"/>
    <w:tmpl w:val="8B1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5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19C58DF"/>
    <w:multiLevelType w:val="hybridMultilevel"/>
    <w:tmpl w:val="9490E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9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A5"/>
    <w:rsid w:val="00001C5C"/>
    <w:rsid w:val="00011699"/>
    <w:rsid w:val="0002048A"/>
    <w:rsid w:val="000367C8"/>
    <w:rsid w:val="00052080"/>
    <w:rsid w:val="0006348D"/>
    <w:rsid w:val="00084BE4"/>
    <w:rsid w:val="000C30AD"/>
    <w:rsid w:val="000E4DB5"/>
    <w:rsid w:val="000F323B"/>
    <w:rsid w:val="00135A77"/>
    <w:rsid w:val="00145BEA"/>
    <w:rsid w:val="00147C74"/>
    <w:rsid w:val="0017692F"/>
    <w:rsid w:val="0019529E"/>
    <w:rsid w:val="001B73DC"/>
    <w:rsid w:val="001D1FAC"/>
    <w:rsid w:val="001E697C"/>
    <w:rsid w:val="00237EA2"/>
    <w:rsid w:val="00241CAF"/>
    <w:rsid w:val="00250AF4"/>
    <w:rsid w:val="00265100"/>
    <w:rsid w:val="0027472C"/>
    <w:rsid w:val="002A077E"/>
    <w:rsid w:val="002D12BC"/>
    <w:rsid w:val="002E12DA"/>
    <w:rsid w:val="002E2269"/>
    <w:rsid w:val="002F21EE"/>
    <w:rsid w:val="003263C5"/>
    <w:rsid w:val="00335F7D"/>
    <w:rsid w:val="00347399"/>
    <w:rsid w:val="003714C5"/>
    <w:rsid w:val="00385DE8"/>
    <w:rsid w:val="00394A8F"/>
    <w:rsid w:val="003C4E9C"/>
    <w:rsid w:val="003C79E1"/>
    <w:rsid w:val="003E740A"/>
    <w:rsid w:val="003F2757"/>
    <w:rsid w:val="003F2DD6"/>
    <w:rsid w:val="00400756"/>
    <w:rsid w:val="00405621"/>
    <w:rsid w:val="004211FC"/>
    <w:rsid w:val="00425BFA"/>
    <w:rsid w:val="00430D51"/>
    <w:rsid w:val="00431A7A"/>
    <w:rsid w:val="004325B0"/>
    <w:rsid w:val="004373A7"/>
    <w:rsid w:val="00445311"/>
    <w:rsid w:val="00496481"/>
    <w:rsid w:val="004A346E"/>
    <w:rsid w:val="004D6744"/>
    <w:rsid w:val="004E45D8"/>
    <w:rsid w:val="00560526"/>
    <w:rsid w:val="0057654A"/>
    <w:rsid w:val="00584DBB"/>
    <w:rsid w:val="005D57C9"/>
    <w:rsid w:val="005F4A88"/>
    <w:rsid w:val="00612E24"/>
    <w:rsid w:val="00641D3D"/>
    <w:rsid w:val="00674FD2"/>
    <w:rsid w:val="006B3579"/>
    <w:rsid w:val="006D6998"/>
    <w:rsid w:val="006E47A7"/>
    <w:rsid w:val="006F1946"/>
    <w:rsid w:val="006F2C40"/>
    <w:rsid w:val="007042EF"/>
    <w:rsid w:val="0071703F"/>
    <w:rsid w:val="00720DA4"/>
    <w:rsid w:val="00734431"/>
    <w:rsid w:val="00743364"/>
    <w:rsid w:val="007547A5"/>
    <w:rsid w:val="00766A69"/>
    <w:rsid w:val="00780CC9"/>
    <w:rsid w:val="00793922"/>
    <w:rsid w:val="007A552A"/>
    <w:rsid w:val="007B45C0"/>
    <w:rsid w:val="007D303E"/>
    <w:rsid w:val="00812F9B"/>
    <w:rsid w:val="00813984"/>
    <w:rsid w:val="0082697C"/>
    <w:rsid w:val="00846844"/>
    <w:rsid w:val="00847009"/>
    <w:rsid w:val="00856055"/>
    <w:rsid w:val="00891CC3"/>
    <w:rsid w:val="008A6E53"/>
    <w:rsid w:val="008A72BE"/>
    <w:rsid w:val="008B217D"/>
    <w:rsid w:val="008C0E1F"/>
    <w:rsid w:val="008C7C7A"/>
    <w:rsid w:val="008D60A8"/>
    <w:rsid w:val="008F525B"/>
    <w:rsid w:val="00954089"/>
    <w:rsid w:val="009712DD"/>
    <w:rsid w:val="00976BE5"/>
    <w:rsid w:val="00994099"/>
    <w:rsid w:val="009B70AB"/>
    <w:rsid w:val="009E056F"/>
    <w:rsid w:val="00A00094"/>
    <w:rsid w:val="00A30B97"/>
    <w:rsid w:val="00A33D61"/>
    <w:rsid w:val="00A35700"/>
    <w:rsid w:val="00A51C2E"/>
    <w:rsid w:val="00A70BC0"/>
    <w:rsid w:val="00A93F52"/>
    <w:rsid w:val="00AE3003"/>
    <w:rsid w:val="00AF4204"/>
    <w:rsid w:val="00AF4C87"/>
    <w:rsid w:val="00B011DE"/>
    <w:rsid w:val="00B338F5"/>
    <w:rsid w:val="00B54015"/>
    <w:rsid w:val="00B62645"/>
    <w:rsid w:val="00B63D45"/>
    <w:rsid w:val="00B76D88"/>
    <w:rsid w:val="00B9116C"/>
    <w:rsid w:val="00B9442F"/>
    <w:rsid w:val="00BB44B5"/>
    <w:rsid w:val="00BC0253"/>
    <w:rsid w:val="00BD014B"/>
    <w:rsid w:val="00BE33F0"/>
    <w:rsid w:val="00BF7128"/>
    <w:rsid w:val="00C06DFD"/>
    <w:rsid w:val="00C641FF"/>
    <w:rsid w:val="00C666BC"/>
    <w:rsid w:val="00C71B6C"/>
    <w:rsid w:val="00C72F12"/>
    <w:rsid w:val="00C85C5A"/>
    <w:rsid w:val="00C9696B"/>
    <w:rsid w:val="00CC578A"/>
    <w:rsid w:val="00CD47A5"/>
    <w:rsid w:val="00CD6AB4"/>
    <w:rsid w:val="00D17DAE"/>
    <w:rsid w:val="00D6794D"/>
    <w:rsid w:val="00D74669"/>
    <w:rsid w:val="00D76527"/>
    <w:rsid w:val="00D93644"/>
    <w:rsid w:val="00DD230A"/>
    <w:rsid w:val="00DF2A30"/>
    <w:rsid w:val="00E03D00"/>
    <w:rsid w:val="00E635DD"/>
    <w:rsid w:val="00E66A82"/>
    <w:rsid w:val="00E94543"/>
    <w:rsid w:val="00ED7CFC"/>
    <w:rsid w:val="00EE7B50"/>
    <w:rsid w:val="00F07B75"/>
    <w:rsid w:val="00F15817"/>
    <w:rsid w:val="00F15CF6"/>
    <w:rsid w:val="00F458BE"/>
    <w:rsid w:val="00F47840"/>
    <w:rsid w:val="00F50456"/>
    <w:rsid w:val="00F54FE2"/>
    <w:rsid w:val="00F5715E"/>
    <w:rsid w:val="00F677B5"/>
    <w:rsid w:val="00F840AA"/>
    <w:rsid w:val="00FA5538"/>
    <w:rsid w:val="00FB57B6"/>
    <w:rsid w:val="00FB71D3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307"/>
  <w15:docId w15:val="{DD43050A-2675-45AF-9351-371999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vodokanal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30D1-83CD-462A-91C3-A142AB50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Волкова Екатерина Викторовна</cp:lastModifiedBy>
  <cp:revision>6</cp:revision>
  <cp:lastPrinted>2018-09-25T09:40:00Z</cp:lastPrinted>
  <dcterms:created xsi:type="dcterms:W3CDTF">2021-08-04T05:01:00Z</dcterms:created>
  <dcterms:modified xsi:type="dcterms:W3CDTF">2022-07-06T08:54:00Z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